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5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center"/>
        <w:ind w:left="1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5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340"/>
        <w:spacing w:after="0" w:line="25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-233680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53340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3 Holdings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94615</wp:posOffset>
            </wp:positionV>
            <wp:extent cx="119380" cy="1193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2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4 Transactions Reported.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UNITED STATES SECURITIES AND EXCHANGE COMMISSION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4069715</wp:posOffset>
            </wp:positionH>
            <wp:positionV relativeFrom="paragraph">
              <wp:posOffset>-36195</wp:posOffset>
            </wp:positionV>
            <wp:extent cx="1333500" cy="6235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6235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6"/>
        </w:trPr>
        <w:tc>
          <w:tcPr>
            <w:tcW w:w="6420" w:type="dxa"/>
            <w:vAlign w:val="bottom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top w:val="single" w:sz="8" w:color="2C2C2C"/>
              <w:bottom w:val="single" w:sz="8" w:color="808080"/>
            </w:tcBorders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ANNUAL 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3235-0362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1.0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420" w:type="dxa"/>
            <w:vAlign w:val="bottom"/>
            <w:vMerge w:val="restart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6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6420" w:type="dxa"/>
            <w:vAlign w:val="bottom"/>
          </w:tcPr>
          <w:p>
            <w:pPr>
              <w:jc w:val="center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80" w:space="260"/>
            <w:col w:w="8640"/>
          </w:cols>
          <w:pgMar w:left="460" w:top="215" w:right="359" w:bottom="986" w:gutter="0" w:footer="0" w:header="0"/>
        </w:sect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transaction was made pursuant to a</w:t>
      </w: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contract, instruction or written plan for</w:t>
      </w: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the purchase or sale of equity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32385</wp:posOffset>
            </wp:positionH>
            <wp:positionV relativeFrom="paragraph">
              <wp:posOffset>-62865</wp:posOffset>
            </wp:positionV>
            <wp:extent cx="119380" cy="1193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securities of the issuer that is intended</w:t>
      </w: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to satisfy the affirmative defense</w:t>
      </w: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conditions of Rule 10b5-1(c). See</w:t>
      </w:r>
    </w:p>
    <w:p>
      <w:pPr>
        <w:ind w:left="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Instruction 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19685</wp:posOffset>
            </wp:positionV>
            <wp:extent cx="7048500" cy="535368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0" cy="5353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5" w:right="359" w:bottom="986" w:gutter="0" w:footer="0" w:header="0"/>
          <w:type w:val="continuous"/>
        </w:sectPr>
      </w:pPr>
    </w:p>
    <w:p>
      <w:pPr>
        <w:spacing w:after="0" w:line="10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Torres Erica Monique</w:t>
        </w:r>
      </w:hyperlink>
    </w:p>
    <w:p>
      <w:pPr>
        <w:spacing w:after="0" w:line="28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6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3"/>
              </w:rPr>
              <w:t>(Middle)</w:t>
            </w:r>
          </w:p>
        </w:tc>
      </w:tr>
      <w:tr>
        <w:trPr>
          <w:trHeight w:val="259"/>
        </w:trPr>
        <w:tc>
          <w:tcPr>
            <w:tcW w:w="2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2801 DIODE LANE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469"/>
        </w:trPr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22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LOUSIVILLE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KY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40299</w:t>
            </w:r>
          </w:p>
        </w:tc>
      </w:tr>
      <w:tr>
        <w:trPr>
          <w:trHeight w:val="457"/>
        </w:trPr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8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</w:tr>
      <w:tr>
        <w:trPr>
          <w:trHeight w:val="206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201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5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LogicMark, Inc.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LGMK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14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</w:tr>
      <w:tr>
        <w:trPr>
          <w:trHeight w:val="116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1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</w:tr>
      <w:tr>
        <w:trPr>
          <w:trHeight w:val="176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Statement for Issuer's Fiscal Year Ended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</w:tr>
      <w:tr>
        <w:trPr>
          <w:trHeight w:val="237"/>
        </w:trPr>
        <w:tc>
          <w:tcPr>
            <w:tcW w:w="13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12/31/2025</w:t>
            </w:r>
          </w:p>
        </w:tc>
        <w:tc>
          <w:tcPr>
            <w:tcW w:w="2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VP, Corporate Controller</w:t>
            </w:r>
          </w:p>
        </w:tc>
      </w:tr>
      <w:tr>
        <w:trPr>
          <w:trHeight w:val="23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188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20" w:space="720"/>
            <w:col w:w="7240"/>
          </w:cols>
          <w:pgMar w:left="460" w:top="215" w:right="359" w:bottom="986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4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9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2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1,125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9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9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02/23/2033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9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9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1,125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9"/>
                <w:vertAlign w:val="subscript"/>
              </w:rPr>
              <w:t>3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9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10/01/2033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9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9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1,125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7"/>
                <w:vertAlign w:val="subscript"/>
              </w:rPr>
              <w:t>4D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7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02/23/2033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9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4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4"/>
              </w:rPr>
              <w:t>1,125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4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12/31/2025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7"/>
                <w:vertAlign w:val="subscript"/>
              </w:rPr>
              <w:t>4D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7"/>
              </w:rPr>
              <w:t>(5)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(1)(5)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10/01/2033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9"/>
                <w:vertAlign w:val="subscript"/>
              </w:rPr>
              <w:t>4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2"/>
              </w:rPr>
              <w:t>1.2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11/03/2025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7"/>
                <w:vertAlign w:val="subscript"/>
              </w:rPr>
              <w:t>4A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7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5"/>
                <w:vertAlign w:val="subscript"/>
              </w:rPr>
              <w:t>3,150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(1)(5)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(6)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02/23/2033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3,150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5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(5)(7)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3,150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Options to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  <w:w w:val="92"/>
              </w:rPr>
              <w:t>1.2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11/03/2025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7"/>
                <w:vertAlign w:val="subscript"/>
              </w:rPr>
              <w:t>4A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7"/>
              </w:rPr>
              <w:t>(5)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5"/>
                <w:vertAlign w:val="subscript"/>
              </w:rPr>
              <w:t>3,150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(1)(5)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26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(8)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10/01/2033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3"/>
              </w:rPr>
              <w:t>3,150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95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95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5"/>
              </w:rPr>
              <w:t>(5)(7)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9"/>
              </w:rPr>
              <w:t>3,150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Purchase</w:t>
            </w: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 w:right="46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October 24, 2025, the issuer effected a 1-for-750 reverse stock split (the "Reverse Stock Split") of the issuer's outstanding shares of common stock, par value $0.0001 per share (the "Common Stock"). The number of shares of Common Stock and prices reported on this Form 5 have been adjusted to reflect the Reverse Stock Split.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owned the stock options on September 1, 2025, the date on which the reporting person became an officer of the issuer.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were subject to vesting commencing on February 24, 2023, with 1/4 of such shares having vested on February 24, 2024, and thereafter, 1/16 of such shares having vested or to vest on the first day of each subsequent three-month period until the entire award has vested, so long as the reporting person remains in the service of the issuer for each such quarter.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2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were subject to vesting commencing on October 2, 2023, with 1/4 of such shares having vested on October 2, 2024, and thereafter, 1/16 of such shares having vested or to vest on the first day of each subsequent three-month period until the entire award has vested, so long as the reporting person remains in the service of the issuer for each such quarter.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November 3, 2025, the stock options held by the reporting person were canceled by the issuer and new stock options were issued to the reporting person in exchange.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16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subject to vesting which commenced on February 24, 2023, with 1/4 of such shares having vested on February 24, 2024, and thereafter, 1/16 of such shares to vest on the first day of each subsequent three-month period until the entire award has vested, so long as the reporting person remains in the service of the issuer for each such quarter.</w:t>
      </w:r>
    </w:p>
    <w:p>
      <w:pPr>
        <w:spacing w:after="0" w:line="2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stock options were received as compensation for the reporting person's services as the issuer's Vice President, Corporate Controller.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80" w:hanging="2"/>
        <w:spacing w:after="0" w:line="245" w:lineRule="auto"/>
        <w:tabs>
          <w:tab w:leader="none" w:pos="166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options are subject to vesting which commenced on October 2, 2023, with 1/4 of such shares having vested on October 2, 2024, and thereafter, 1/16 of such shares to vest on the first day of each subsequent three-month period until the entire award has vested, so long as the reporting person remains in the service of the issuer for each such quarter.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Erica Monique Torres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03/13/2026</w:t>
            </w: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jc w:val="both"/>
        <w:ind w:left="40" w:right="3800" w:hanging="2"/>
        <w:spacing w:after="0" w:line="327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5" w:right="359" w:bottom="98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jpeg"/><Relationship Id="rId11" Type="http://schemas.openxmlformats.org/officeDocument/2006/relationships/image" Target="media/image4.png"/><Relationship Id="rId12" Type="http://schemas.openxmlformats.org/officeDocument/2006/relationships/image" Target="media/image5.jpeg"/><Relationship Id="rId13" Type="http://schemas.openxmlformats.org/officeDocument/2006/relationships/image" Target="media/image6.png"/><Relationship Id="rId14" Type="http://schemas.openxmlformats.org/officeDocument/2006/relationships/hyperlink" Target="http://www.sec.gov/cgi-bin/browse-edgar?action=getcompany&amp;CIK=0002113414" TargetMode="External"/><Relationship Id="rId15" Type="http://schemas.openxmlformats.org/officeDocument/2006/relationships/hyperlink" Target="http://www.sec.gov/cgi-bin/browse-edgar?action=getcompany&amp;CIK=00015668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2026-03-13T17:20:24Z</dcterms:created>
  <dcterms:modified xsi:type="dcterms:W3CDTF">2026-03-13T17:20:24Z</dcterms:modified>
</cp:coreProperties>
</file>