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March 27,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333-284997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7381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46-0678374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2801 Diode Lane</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Louisville, KY 40299</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(502) 442-7911</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Mark Archer</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2801 Diode Lane</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Louisville, KY 40299</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(502) 442-7911</w:t>
      </w:r>
    </w:p>
    <w:p>
      <w:pPr>
        <w:spacing w:after="0" w:line="9"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40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David E. Danovitch, Esq.</w:t>
            </w:r>
          </w:p>
        </w:tc>
        <w:tc>
          <w:tcPr>
            <w:tcW w:w="35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M. Ali Panjwani, Esq.</w:t>
            </w:r>
          </w:p>
        </w:tc>
      </w:tr>
      <w:tr>
        <w:trPr>
          <w:trHeight w:val="216"/>
        </w:trPr>
        <w:tc>
          <w:tcPr>
            <w:tcW w:w="406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Michael DeDonato, Esq.</w:t>
            </w:r>
          </w:p>
        </w:tc>
        <w:tc>
          <w:tcPr>
            <w:tcW w:w="35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Pryor Cashman LLP</w:t>
            </w:r>
          </w:p>
        </w:tc>
      </w:tr>
      <w:tr>
        <w:trPr>
          <w:trHeight w:val="216"/>
        </w:trPr>
        <w:tc>
          <w:tcPr>
            <w:tcW w:w="40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Sullivan &amp; Worcester LLP</w:t>
            </w:r>
          </w:p>
        </w:tc>
        <w:tc>
          <w:tcPr>
            <w:tcW w:w="35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8"/>
              </w:rPr>
              <w:t>7 Times Square</w:t>
            </w:r>
          </w:p>
        </w:tc>
      </w:tr>
      <w:tr>
        <w:trPr>
          <w:trHeight w:val="216"/>
        </w:trPr>
        <w:tc>
          <w:tcPr>
            <w:tcW w:w="406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1251 Avenue of the Americas</w:t>
            </w:r>
          </w:p>
        </w:tc>
        <w:tc>
          <w:tcPr>
            <w:tcW w:w="35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New York, NY 10036</w:t>
            </w:r>
          </w:p>
        </w:tc>
      </w:tr>
      <w:tr>
        <w:trPr>
          <w:trHeight w:val="216"/>
        </w:trPr>
        <w:tc>
          <w:tcPr>
            <w:tcW w:w="40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New York, NY 10020</w:t>
            </w:r>
          </w:p>
        </w:tc>
        <w:tc>
          <w:tcPr>
            <w:tcW w:w="352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(212) 421-4100</w:t>
            </w:r>
          </w:p>
        </w:tc>
      </w:tr>
      <w:tr>
        <w:trPr>
          <w:trHeight w:val="238"/>
        </w:trPr>
        <w:tc>
          <w:tcPr>
            <w:tcW w:w="406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(212) 660-3060</w:t>
            </w:r>
          </w:p>
        </w:tc>
        <w:tc>
          <w:tcPr>
            <w:tcW w:w="3520" w:type="dxa"/>
            <w:vAlign w:val="bottom"/>
          </w:tcPr>
          <w:p>
            <w:pPr>
              <w:spacing w:after="0"/>
              <w:rPr>
                <w:sz w:val="20"/>
                <w:szCs w:val="20"/>
                <w:color w:val="auto"/>
              </w:rPr>
            </w:pPr>
          </w:p>
        </w:tc>
      </w:tr>
    </w:tbl>
    <w:p>
      <w:pPr>
        <w:spacing w:after="0" w:line="194"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This post-effective amendment is being filed pursuant to 462(d)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will be effective upon filing.</w:t>
      </w:r>
    </w:p>
    <w:p>
      <w:pPr>
        <w:spacing w:after="0" w:line="15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333-284997</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77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 AND INCORPORATION OF CERTAIN INFORMATION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No. 2 to the Registration Statement on Form S-1 (File No. 333-284997) (the “Registration Statement”), is being filed solely to include as an exhibit to the Registration Statement BPM LLP’s consent to the use of its report dated March 27, 2026, with respect to the financial statements of LogicMark, Inc. (the “Company”), included in the Company’s Annual Report on Form 10-K, filed by the Company with the U.S. Securities and Exchange Commission (“SEC”) on March 27, 2026.</w:t>
      </w:r>
    </w:p>
    <w:p>
      <w:pPr>
        <w:spacing w:after="0" w:line="180"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in the Registration Statement on </w:t>
      </w:r>
      <w:hyperlink r:id="rId13">
        <w:r>
          <w:rPr>
            <w:rFonts w:ascii="Times New Roman" w:cs="Times New Roman" w:eastAsia="Times New Roman" w:hAnsi="Times New Roman"/>
            <w:sz w:val="18"/>
            <w:szCs w:val="18"/>
            <w:u w:val="single" w:color="auto"/>
            <w:color w:val="0000EE"/>
          </w:rPr>
          <w:t>Form S-1</w:t>
        </w:r>
      </w:hyperlink>
      <w:r>
        <w:rPr>
          <w:rFonts w:ascii="Times New Roman" w:cs="Times New Roman" w:eastAsia="Times New Roman" w:hAnsi="Times New Roman"/>
          <w:sz w:val="18"/>
          <w:szCs w:val="18"/>
          <w:color w:val="auto"/>
        </w:rPr>
        <w:t>, as amended (File No. 333-284135) (the “Prior Registration Statement”), which the Company originally filed with the SEC on January 3, 2025, and which the Commission declared effective on February 14, 2025, including all amendments, supplements and exhibits thereto and each of the documents filed by the Registrant with the Commission and incorporated or deemed to be incorporated therein, are incorporated by reference into this Registration Statement.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as part of this registration statement or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Opinion of Sullivan &amp; Worcester LLP (1)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Consent of BPM LLP, Independent Registered Public Accounting Firm (1)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Consent of Sullivan &amp; Worcester LLP (included in Exhibit 5.1) (1)</w:t>
              </w:r>
            </w:hyperlink>
          </w:p>
        </w:tc>
        <w:tc>
          <w:tcPr>
            <w:tcW w:w="528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Consent of BPM LLP, Independent Registered Public Accounting Firm (2)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BPM LLP, Independent Registered Public Accounting Firm</w:t>
            </w:r>
          </w:p>
        </w:tc>
        <w:tc>
          <w:tcPr>
            <w:tcW w:w="496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Power of Attorney (included on the signature page of the Prior Registration Statement filed with the Commission on January 3,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Filing Fee Table (1)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9720" w:firstLine="8"/>
        <w:spacing w:after="0" w:line="261" w:lineRule="auto"/>
        <w:tabs>
          <w:tab w:leader="none" w:pos="3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Filed as an Exhibit to the Company’s Registration Statement on Form S-1, as amended (File No. 333-284135), with the SEC on February 11, 2025.</w:t>
      </w:r>
    </w:p>
    <w:p>
      <w:pPr>
        <w:spacing w:after="0" w:line="9" w:lineRule="exact"/>
        <w:rPr>
          <w:rFonts w:ascii="Times New Roman" w:cs="Times New Roman" w:eastAsia="Times New Roman" w:hAnsi="Times New Roman"/>
          <w:sz w:val="18"/>
          <w:szCs w:val="18"/>
          <w:color w:val="auto"/>
        </w:rPr>
      </w:pPr>
    </w:p>
    <w:p>
      <w:pPr>
        <w:ind w:left="340"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Filed as an Exhibit to the Company’s Post-Effective Amendment No. 1 to its Registration Statement on Form S-1, as amended (File No. 333-284997), filed with the SEC on March 31, 2025.</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Post-Effective Amendment No. 2 to the Registration Statement on Form S-1 to be signed on its behalf by the undersigned, thereunto duly authorized, in the City of Louisville, in the State of Kentucky, on March 27,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704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LogicMark, Inc.</w:t>
            </w:r>
          </w:p>
        </w:tc>
      </w:tr>
      <w:tr>
        <w:trPr>
          <w:trHeight w:val="43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70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Mark Archer</w:t>
            </w:r>
          </w:p>
        </w:tc>
      </w:tr>
      <w:tr>
        <w:trPr>
          <w:trHeight w:val="198"/>
        </w:trPr>
        <w:tc>
          <w:tcPr>
            <w:tcW w:w="4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Mark Archer</w:t>
            </w:r>
          </w:p>
        </w:tc>
      </w:tr>
      <w:tr>
        <w:trPr>
          <w:trHeight w:val="234"/>
        </w:trPr>
        <w:tc>
          <w:tcPr>
            <w:tcW w:w="4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2 to the Registration Statement on Form S-1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Chia-Lin Simmons</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580" w:type="dxa"/>
            <w:vAlign w:val="bottom"/>
          </w:tcPr>
          <w:p>
            <w:pPr>
              <w:spacing w:after="0"/>
              <w:rPr>
                <w:sz w:val="20"/>
                <w:szCs w:val="20"/>
                <w:color w:val="auto"/>
              </w:rPr>
            </w:pPr>
          </w:p>
        </w:tc>
      </w:tr>
      <w:tr>
        <w:trPr>
          <w:trHeight w:val="421"/>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Mark Archer</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580" w:type="dxa"/>
            <w:vAlign w:val="bottom"/>
          </w:tcPr>
          <w:p>
            <w:pPr>
              <w:spacing w:after="0"/>
              <w:rPr>
                <w:sz w:val="20"/>
                <w:szCs w:val="20"/>
                <w:color w:val="auto"/>
              </w:rPr>
            </w:pPr>
          </w:p>
        </w:tc>
      </w:tr>
      <w:tr>
        <w:trPr>
          <w:trHeight w:val="421"/>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Carine Schneider</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John Pettitt</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Barbara Gutierrez</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Robert Curtis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By:  /s/ Mark Archer</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2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Mark Archer</w:t>
            </w: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55"/>
        </w:trPr>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3"/>
          </w:tcPr>
          <w:p>
            <w:pPr>
              <w:ind w:left="27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23.4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Post-Effective Amendment No. 2 to Registration Statement on Form S-1MEF (File No. 333-284997) of LogicMark, Inc. of our report dated March 27, 2026 relating to the financial statements, which appears in LogicMark, Inc.’s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Rosa,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20" Type="http://schemas.openxmlformats.org/officeDocument/2006/relationships/image" Target="media/image7.png"/><Relationship Id="rId13" Type="http://schemas.openxmlformats.org/officeDocument/2006/relationships/hyperlink" Target="http://www.sec.gov/Archives/edgar/data/1566826/000121390025000848/ea0226715-s1_logicmark.htm" TargetMode="External"/><Relationship Id="rId15" Type="http://schemas.openxmlformats.org/officeDocument/2006/relationships/hyperlink" Target="http://www.sec.gov/Archives/edgar/data/1566826/000121390025012287/ea023074001ex5-1_logic.htm" TargetMode="External"/><Relationship Id="rId16" Type="http://schemas.openxmlformats.org/officeDocument/2006/relationships/hyperlink" Target="http://www.sec.gov/Archives/edgar/data/1566826/000121390025012287/ea023074001ex23-1_logic.htm" TargetMode="External"/><Relationship Id="rId17" Type="http://schemas.openxmlformats.org/officeDocument/2006/relationships/hyperlink" Target="http://www.sec.gov/Archives/edgar/data/1566826/000101376225004399/ea023579702ex23-3_logicma.htm" TargetMode="External"/><Relationship Id="rId18" Type="http://schemas.openxmlformats.org/officeDocument/2006/relationships/hyperlink" Target="https://www.sec.gov/Archives/edgar/data/1566826/000121390025000848/ea0226715-s1_logicmark.htm#log_019" TargetMode="External"/><Relationship Id="rId19" Type="http://schemas.openxmlformats.org/officeDocument/2006/relationships/hyperlink" Target="http://www.sec.gov/Archives/edgar/data/1566826/000121390025012287/ea023074001ex-fee_log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2026-03-27T14:13:53Z</dcterms:created>
  <dcterms:modified xsi:type="dcterms:W3CDTF">2026-03-27T14:13:53Z</dcterms:modified>
</cp:coreProperties>
</file>