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27, 2026</w:t>
      </w:r>
    </w:p>
    <w:p>
      <w:pPr>
        <w:spacing w:after="0" w:line="1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w:t>
      </w:r>
    </w:p>
    <w:p>
      <w:pPr>
        <w:spacing w:after="0" w:line="3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2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2801 Diode Lane</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Louisville, KY 40299</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(502) 442-7911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3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Mark Archer</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2801 Diode Lane</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Louisville, KY 40299</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(502) 442-7911</w:t>
      </w:r>
    </w:p>
    <w:p>
      <w:pPr>
        <w:spacing w:after="0" w:line="9"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40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David E. Danovitch, Esq.</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M. Ali Panjwani, Esq.</w:t>
            </w:r>
          </w:p>
        </w:tc>
      </w:tr>
      <w:tr>
        <w:trPr>
          <w:trHeight w:val="216"/>
        </w:trPr>
        <w:tc>
          <w:tcPr>
            <w:tcW w:w="406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Michael DeDonato, Esq.</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Pryor Cashman LLP</w:t>
            </w:r>
          </w:p>
        </w:tc>
      </w:tr>
      <w:tr>
        <w:trPr>
          <w:trHeight w:val="216"/>
        </w:trPr>
        <w:tc>
          <w:tcPr>
            <w:tcW w:w="40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Sullivan &amp; Worcester LLP</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8"/>
              </w:rPr>
              <w:t>7 Times Square</w:t>
            </w:r>
          </w:p>
        </w:tc>
      </w:tr>
      <w:tr>
        <w:trPr>
          <w:trHeight w:val="216"/>
        </w:trPr>
        <w:tc>
          <w:tcPr>
            <w:tcW w:w="406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New York, NY 10036</w:t>
            </w:r>
          </w:p>
        </w:tc>
      </w:tr>
      <w:tr>
        <w:trPr>
          <w:trHeight w:val="216"/>
        </w:trPr>
        <w:tc>
          <w:tcPr>
            <w:tcW w:w="40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New York, NY 10020</w:t>
            </w:r>
          </w:p>
        </w:tc>
        <w:tc>
          <w:tcPr>
            <w:tcW w:w="352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(212) 421-4100</w:t>
            </w:r>
          </w:p>
        </w:tc>
      </w:tr>
      <w:tr>
        <w:trPr>
          <w:trHeight w:val="238"/>
        </w:trPr>
        <w:tc>
          <w:tcPr>
            <w:tcW w:w="406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(212) 660-3060</w:t>
            </w:r>
          </w:p>
        </w:tc>
        <w:tc>
          <w:tcPr>
            <w:tcW w:w="3520" w:type="dxa"/>
            <w:vAlign w:val="bottom"/>
          </w:tcPr>
          <w:p>
            <w:pPr>
              <w:spacing w:after="0"/>
              <w:rPr>
                <w:sz w:val="20"/>
                <w:szCs w:val="20"/>
                <w:color w:val="auto"/>
              </w:rPr>
            </w:pPr>
          </w:p>
        </w:tc>
      </w:tr>
    </w:tbl>
    <w:p>
      <w:pPr>
        <w:spacing w:after="0" w:line="126"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This post-effective amendment is being filed pursuant to 462(d)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will be effective upon filing.</w:t>
      </w:r>
    </w:p>
    <w:p>
      <w:pPr>
        <w:spacing w:after="0" w:line="91"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333-284135</w:t>
      </w:r>
    </w:p>
    <w:p>
      <w:pPr>
        <w:spacing w:after="0" w:line="10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No. 2 to the Registration Statement on Form S-1, as amended (File No. 333-284135) (the “Registration Statement”), is being filed solely to update the exhibit list in the Registration Statement to add as an exhibit BPM LLP’s consent to the use of its report dated March 27, 2026, with respect to the financial statements of LogicMark, Inc. (the “Company”), included in the Company’s Annual Report on Form 10-K, filed by the Company with the U.S. Securities and Exchange Commission on March 27, 2026.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this registration statement or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8"/>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Agreement and Plan of Merger, dated as of May 19, 2017, by and among the Company, Fit Merger Sub, Inc., Fit Pay, Inc. and Michael</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7"/>
              </w:rPr>
            </w:pPr>
            <w:hyperlink r:id="rId14">
              <w:r>
                <w:rPr>
                  <w:rFonts w:ascii="Times New Roman" w:cs="Times New Roman" w:eastAsia="Times New Roman" w:hAnsi="Times New Roman"/>
                  <w:sz w:val="18"/>
                  <w:szCs w:val="18"/>
                  <w:color w:val="0000EE"/>
                  <w:w w:val="97"/>
                </w:rPr>
                <w:t>Orlando (3)</w:t>
              </w:r>
            </w:hyperlink>
          </w:p>
        </w:tc>
        <w:tc>
          <w:tcPr>
            <w:tcW w:w="9140" w:type="dxa"/>
            <w:vAlign w:val="bottom"/>
            <w:tcBorders>
              <w:bottom w:val="single" w:sz="8" w:color="CCEEFF"/>
            </w:tcBorders>
            <w:gridSpan w:val="27"/>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5"/>
                <w:szCs w:val="15"/>
                <w:color w:val="auto"/>
              </w:rPr>
            </w:pP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Agreement and Plan of Merger, dated as of June 1, 2023, by and between the Company and LogicMark, Inc., a Delaware corporation. (22)</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3.1(i)(a)**</w:t>
            </w:r>
          </w:p>
        </w:tc>
        <w:tc>
          <w:tcPr>
            <w:tcW w:w="3180" w:type="dxa"/>
            <w:vAlign w:val="bottom"/>
            <w:tcBorders>
              <w:bottom w:val="single" w:sz="8" w:color="0000EE"/>
            </w:tcBorders>
            <w:gridSpan w:val="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Certificate of Incorporation, as amended (1)</w:t>
              </w:r>
            </w:hyperlink>
          </w:p>
        </w:tc>
        <w:tc>
          <w:tcPr>
            <w:tcW w:w="6820" w:type="dxa"/>
            <w:vAlign w:val="bottom"/>
            <w:tcBorders>
              <w:bottom w:val="single" w:sz="8" w:color="CCEEFF"/>
            </w:tcBorders>
            <w:gridSpan w:val="22"/>
            <w:shd w:val="clear" w:color="auto" w:fill="CCEEFF"/>
          </w:tcPr>
          <w:p>
            <w:pPr>
              <w:spacing w:after="0"/>
              <w:rPr>
                <w:sz w:val="17"/>
                <w:szCs w:val="17"/>
                <w:color w:val="auto"/>
              </w:rPr>
            </w:pPr>
          </w:p>
        </w:tc>
      </w:tr>
      <w:tr>
        <w:trPr>
          <w:trHeight w:val="176"/>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3.1(i)(b)**</w:t>
            </w: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Certificate of Amendment to Certificate of Incorporation (2)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3.1(i)(c)**</w:t>
            </w:r>
          </w:p>
        </w:tc>
        <w:tc>
          <w:tcPr>
            <w:tcW w:w="4460" w:type="dxa"/>
            <w:vAlign w:val="bottom"/>
            <w:tcBorders>
              <w:bottom w:val="single" w:sz="8" w:color="0000EE"/>
            </w:tcBorders>
            <w:gridSpan w:val="10"/>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Certificate of Amendment to Certificate of Incorporation (16)</w:t>
              </w:r>
            </w:hyperlink>
          </w:p>
        </w:tc>
        <w:tc>
          <w:tcPr>
            <w:tcW w:w="5540" w:type="dxa"/>
            <w:vAlign w:val="bottom"/>
            <w:tcBorders>
              <w:bottom w:val="single" w:sz="8" w:color="CCEEFF"/>
            </w:tcBorders>
            <w:gridSpan w:val="18"/>
            <w:shd w:val="clear" w:color="auto" w:fill="CCEEFF"/>
          </w:tcPr>
          <w:p>
            <w:pPr>
              <w:spacing w:after="0"/>
              <w:rPr>
                <w:sz w:val="17"/>
                <w:szCs w:val="17"/>
                <w:color w:val="auto"/>
              </w:rPr>
            </w:pPr>
          </w:p>
        </w:tc>
      </w:tr>
      <w:tr>
        <w:trPr>
          <w:trHeight w:val="176"/>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3.1(i)(d)**</w:t>
            </w: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Certificate of Amendment to Certificate of Incorporation (17)</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3.1(i)(e)**</w:t>
            </w:r>
          </w:p>
        </w:tc>
        <w:tc>
          <w:tcPr>
            <w:tcW w:w="10000" w:type="dxa"/>
            <w:vAlign w:val="bottom"/>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Certificate of Designations for Series C Non-Convertible Preferred Stock (3)</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3.1(i)(f)**</w:t>
            </w: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Amendment to the Certificate of Designations of Series C Non-Convertible Voting Preferred Stock (16)</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3.1(i)(g)**</w:t>
            </w:r>
          </w:p>
        </w:tc>
        <w:tc>
          <w:tcPr>
            <w:tcW w:w="10000" w:type="dxa"/>
            <w:vAlign w:val="bottom"/>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Certificate of Designations, Preferences and Rights of Series F Convertible Preferred Stock (14)</w:t>
              </w:r>
            </w:hyperlink>
          </w:p>
        </w:tc>
      </w:tr>
      <w:tr>
        <w:trPr>
          <w:trHeight w:val="176"/>
        </w:trPr>
        <w:tc>
          <w:tcPr>
            <w:tcW w:w="12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3.1(i)(h)**</w:t>
            </w:r>
          </w:p>
        </w:tc>
        <w:tc>
          <w:tcPr>
            <w:tcW w:w="7560" w:type="dxa"/>
            <w:vAlign w:val="bottom"/>
            <w:tcBorders>
              <w:top w:val="single" w:sz="8" w:color="0000EE"/>
            </w:tcBorders>
            <w:gridSpan w:val="24"/>
          </w:tcPr>
          <w:p>
            <w:pPr>
              <w:ind w:left="20"/>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Certificate of Incorporation of LogicMark, Inc. (21)</w:t>
              </w:r>
            </w:hyperlink>
          </w:p>
        </w:tc>
        <w:tc>
          <w:tcPr>
            <w:tcW w:w="2440" w:type="dxa"/>
            <w:vAlign w:val="bottom"/>
            <w:tcBorders>
              <w:top w:val="single" w:sz="8" w:color="CCEEFF"/>
            </w:tcBorders>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3.1(i)(i)**</w:t>
            </w:r>
          </w:p>
        </w:tc>
        <w:tc>
          <w:tcPr>
            <w:tcW w:w="10000" w:type="dxa"/>
            <w:vAlign w:val="bottom"/>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Series C Certificate of Amendment to the Series C Certificate of Designations of LogicMark, Inc. (21)</w:t>
              </w:r>
            </w:hyperlink>
          </w:p>
        </w:tc>
      </w:tr>
      <w:tr>
        <w:trPr>
          <w:trHeight w:val="176"/>
        </w:trPr>
        <w:tc>
          <w:tcPr>
            <w:tcW w:w="12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3.1(i)(j)**</w:t>
            </w:r>
          </w:p>
        </w:tc>
        <w:tc>
          <w:tcPr>
            <w:tcW w:w="7380" w:type="dxa"/>
            <w:vAlign w:val="bottom"/>
            <w:tcBorders>
              <w:top w:val="single" w:sz="8" w:color="0000EE"/>
            </w:tcBorders>
            <w:gridSpan w:val="23"/>
          </w:tcPr>
          <w:p>
            <w:pPr>
              <w:ind w:left="20"/>
              <w:spacing w:after="0" w:line="17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Articles of Incorporation, filed with the Secretary of State of the State of Nevada on June 1, 2023 (22)</w:t>
              </w:r>
            </w:hyperlink>
          </w:p>
        </w:tc>
        <w:tc>
          <w:tcPr>
            <w:tcW w:w="2620" w:type="dxa"/>
            <w:vAlign w:val="bottom"/>
            <w:tcBorders>
              <w:top w:val="single" w:sz="8" w:color="CCEEFF"/>
            </w:tcBorders>
            <w:gridSpan w:val="5"/>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3.1(i)(k)**</w:t>
            </w:r>
          </w:p>
        </w:tc>
        <w:tc>
          <w:tcPr>
            <w:tcW w:w="10000" w:type="dxa"/>
            <w:vAlign w:val="bottom"/>
            <w:tcBorders>
              <w:bottom w:val="single" w:sz="8" w:color="0000EE"/>
            </w:tcBorders>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Certificate of Designations, Preferences and Rights of Series C Non-Convertible Voting Preferred Stock, filed with the Secretary of State</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8"/>
            <w:shd w:val="clear" w:color="auto" w:fill="CCEEFF"/>
          </w:tcPr>
          <w:p>
            <w:pPr>
              <w:ind w:left="2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of the State of Nevada on June 1, 2023 (22)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3.1(i)(l)**</w:t>
            </w:r>
          </w:p>
        </w:tc>
        <w:tc>
          <w:tcPr>
            <w:tcW w:w="10000" w:type="dxa"/>
            <w:vAlign w:val="bottom"/>
            <w:tcBorders>
              <w:bottom w:val="single" w:sz="8" w:color="0000EE"/>
            </w:tcBorders>
            <w:gridSpan w:val="28"/>
          </w:tcPr>
          <w:p>
            <w:pPr>
              <w:ind w:left="20"/>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Designation of Preferences, Rights and Limitations of Series F Convertible Preferred Stock, filed with the Secretary of State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of the State of Nevada on June 1, 2023 (22)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3.1(i)(m)**</w:t>
            </w:r>
          </w:p>
        </w:tc>
        <w:tc>
          <w:tcPr>
            <w:tcW w:w="10000" w:type="dxa"/>
            <w:vAlign w:val="bottom"/>
            <w:tcBorders>
              <w:bottom w:val="single" w:sz="8" w:color="0000EE"/>
            </w:tcBorders>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Certificate of Designation, Preferences and Rights of Series G Non-Convertible Voting Preferred Stock, filed with the Secretary of State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0000EE"/>
            </w:tcBorders>
            <w:gridSpan w:val="7"/>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of the State of Nevada on November 1, 2024 (23)</w:t>
              </w:r>
            </w:hyperlink>
          </w:p>
        </w:tc>
        <w:tc>
          <w:tcPr>
            <w:tcW w:w="6420" w:type="dxa"/>
            <w:vAlign w:val="bottom"/>
            <w:tcBorders>
              <w:bottom w:val="single" w:sz="8" w:color="CCEEFF"/>
            </w:tcBorders>
            <w:gridSpan w:val="21"/>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3.1(i)(n)**</w:t>
            </w:r>
          </w:p>
        </w:tc>
        <w:tc>
          <w:tcPr>
            <w:tcW w:w="10000" w:type="dxa"/>
            <w:vAlign w:val="bottom"/>
            <w:tcBorders>
              <w:bottom w:val="single" w:sz="8" w:color="0000EE"/>
            </w:tcBorders>
            <w:gridSpan w:val="28"/>
          </w:tcPr>
          <w:p>
            <w:pPr>
              <w:ind w:left="20"/>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Certificate of Designation, Preferences, Rights and Limitations of Series H Convertible Non-Voting Preferred Stock, filed with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Secretary of State of the State of Nevada on November 13, 2024 (24)</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3.1(i)(o)**</w:t>
            </w:r>
          </w:p>
        </w:tc>
        <w:tc>
          <w:tcPr>
            <w:tcW w:w="10000" w:type="dxa"/>
            <w:vAlign w:val="bottom"/>
            <w:tcBorders>
              <w:bottom w:val="single" w:sz="8" w:color="0000EE"/>
            </w:tcBorders>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Certificate of Designation, Preferences, Rights and Limitations of Series I Non-Convertible Voting Preferred Stock, filed with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Secretary of State of the State of Nevada on November 13, 2024 (24)</w:t>
              </w:r>
            </w:hyperlink>
          </w:p>
        </w:tc>
        <w:tc>
          <w:tcPr>
            <w:tcW w:w="5000" w:type="dxa"/>
            <w:vAlign w:val="bottom"/>
            <w:tcBorders>
              <w:bottom w:val="single" w:sz="8" w:color="CCEEFF"/>
            </w:tcBorders>
            <w:gridSpan w:val="13"/>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3.1(i)(p)**</w:t>
            </w: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Series C Certificate of Amendment to the Series C Certificate of Designations of LogicMark, Inc. (25)</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3.1(i)(q)**</w:t>
            </w:r>
          </w:p>
        </w:tc>
        <w:tc>
          <w:tcPr>
            <w:tcW w:w="5340" w:type="dxa"/>
            <w:vAlign w:val="bottom"/>
            <w:tcBorders>
              <w:bottom w:val="single" w:sz="8" w:color="0000EE"/>
            </w:tcBorders>
            <w:gridSpan w:val="1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Certificate of Change to Articles of Incorporation of LogicMark, Inc. (25)</w:t>
              </w:r>
            </w:hyperlink>
          </w:p>
        </w:tc>
        <w:tc>
          <w:tcPr>
            <w:tcW w:w="4660" w:type="dxa"/>
            <w:vAlign w:val="bottom"/>
            <w:tcBorders>
              <w:bottom w:val="single" w:sz="8" w:color="CCEEFF"/>
            </w:tcBorders>
            <w:gridSpan w:val="9"/>
            <w:shd w:val="clear" w:color="auto" w:fill="CCEEFF"/>
          </w:tcPr>
          <w:p>
            <w:pPr>
              <w:spacing w:after="0"/>
              <w:rPr>
                <w:sz w:val="17"/>
                <w:szCs w:val="17"/>
                <w:color w:val="auto"/>
              </w:rPr>
            </w:pPr>
          </w:p>
        </w:tc>
      </w:tr>
      <w:tr>
        <w:trPr>
          <w:trHeight w:val="176"/>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3.1(i)(r)**</w:t>
            </w:r>
          </w:p>
        </w:tc>
        <w:tc>
          <w:tcPr>
            <w:tcW w:w="10000" w:type="dxa"/>
            <w:vAlign w:val="bottom"/>
            <w:tcBorders>
              <w:bottom w:val="single" w:sz="8" w:color="0000EE"/>
            </w:tcBorders>
            <w:gridSpan w:val="28"/>
          </w:tcPr>
          <w:p>
            <w:pPr>
              <w:ind w:left="20"/>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Certificate of Amendment to the Articles of Incorporation of LogicMark, Inc., filed with the Secretary of State of the State of Nevada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March 27, 2025 (32)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3.1(ii)**</w:t>
            </w:r>
          </w:p>
        </w:tc>
        <w:tc>
          <w:tcPr>
            <w:tcW w:w="900" w:type="dxa"/>
            <w:vAlign w:val="bottom"/>
            <w:tcBorders>
              <w:bottom w:val="single" w:sz="8" w:color="0000EE"/>
            </w:tcBorders>
            <w:gridSpan w:val="2"/>
            <w:shd w:val="clear" w:color="auto" w:fill="CCEEFF"/>
          </w:tcPr>
          <w:p>
            <w:pPr>
              <w:ind w:left="20"/>
              <w:spacing w:after="0" w:line="176" w:lineRule="exact"/>
              <w:rPr>
                <w:rFonts w:ascii="Times New Roman" w:cs="Times New Roman" w:eastAsia="Times New Roman" w:hAnsi="Times New Roman"/>
                <w:sz w:val="18"/>
                <w:szCs w:val="18"/>
                <w:color w:val="0000EE"/>
                <w:w w:val="97"/>
              </w:rPr>
            </w:pPr>
            <w:hyperlink r:id="rId34">
              <w:r>
                <w:rPr>
                  <w:rFonts w:ascii="Times New Roman" w:cs="Times New Roman" w:eastAsia="Times New Roman" w:hAnsi="Times New Roman"/>
                  <w:sz w:val="18"/>
                  <w:szCs w:val="18"/>
                  <w:color w:val="0000EE"/>
                  <w:w w:val="97"/>
                </w:rPr>
                <w:t>Bylaws (22)</w:t>
              </w:r>
            </w:hyperlink>
          </w:p>
        </w:tc>
        <w:tc>
          <w:tcPr>
            <w:tcW w:w="9100" w:type="dxa"/>
            <w:vAlign w:val="bottom"/>
            <w:tcBorders>
              <w:bottom w:val="single" w:sz="8" w:color="CCEEFF"/>
            </w:tcBorders>
            <w:gridSpan w:val="2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Description of the Registrant’s Securities Registered Pursuant to Section 12 of the Securities Exchange Act of 1934 (33)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7"/>
                <w:szCs w:val="17"/>
                <w:color w:val="auto"/>
              </w:rPr>
            </w:pPr>
          </w:p>
        </w:tc>
        <w:tc>
          <w:tcPr>
            <w:tcW w:w="10000" w:type="dxa"/>
            <w:vAlign w:val="bottom"/>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Pre-Funded Warrant for July 2020 Private Placement (5)</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tcPr>
          <w:p>
            <w:pPr>
              <w:spacing w:after="0"/>
              <w:rPr>
                <w:sz w:val="15"/>
                <w:szCs w:val="15"/>
                <w:color w:val="auto"/>
              </w:rPr>
            </w:pPr>
          </w:p>
        </w:tc>
        <w:tc>
          <w:tcPr>
            <w:tcW w:w="4700" w:type="dxa"/>
            <w:vAlign w:val="bottom"/>
            <w:tcBorders>
              <w:top w:val="single" w:sz="8" w:color="0000EE"/>
            </w:tcBorders>
            <w:gridSpan w:val="12"/>
          </w:tcPr>
          <w:p>
            <w:pPr>
              <w:ind w:left="20"/>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Registered Warrant for July 2020 Private Placement (5)</w:t>
              </w:r>
            </w:hyperlink>
          </w:p>
        </w:tc>
        <w:tc>
          <w:tcPr>
            <w:tcW w:w="5300" w:type="dxa"/>
            <w:vAlign w:val="bottom"/>
            <w:tcBorders>
              <w:top w:val="single" w:sz="8" w:color="CCEEFF"/>
            </w:tcBorders>
            <w:gridSpan w:val="16"/>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4800" w:type="dxa"/>
            <w:vAlign w:val="bottom"/>
            <w:tcBorders>
              <w:bottom w:val="single" w:sz="8" w:color="0000EE"/>
            </w:tcBorders>
            <w:gridSpan w:val="13"/>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Form of Unregistered Warrant for July 2020 Private Placement (5)</w:t>
              </w:r>
            </w:hyperlink>
          </w:p>
        </w:tc>
        <w:tc>
          <w:tcPr>
            <w:tcW w:w="5200" w:type="dxa"/>
            <w:vAlign w:val="bottom"/>
            <w:tcBorders>
              <w:bottom w:val="single" w:sz="8" w:color="CCEEFF"/>
            </w:tcBorders>
            <w:gridSpan w:val="15"/>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5"/>
                <w:szCs w:val="15"/>
                <w:color w:val="auto"/>
              </w:rPr>
            </w:pP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Registered Warrant for December 2020 Private Placement (6)</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524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 of Unregistered Warrant for December 2020 Private Placement (6)</w:t>
              </w:r>
            </w:hyperlink>
          </w:p>
        </w:tc>
        <w:tc>
          <w:tcPr>
            <w:tcW w:w="476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5"/>
                <w:szCs w:val="15"/>
                <w:color w:val="auto"/>
              </w:rPr>
            </w:pP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New Warrant (7)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4440" w:type="dxa"/>
            <w:vAlign w:val="bottom"/>
            <w:tcBorders>
              <w:bottom w:val="single" w:sz="8" w:color="0000EE"/>
            </w:tcBorders>
            <w:gridSpan w:val="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of Series F Convertible Preferred Stock Certificate (18)</w:t>
              </w:r>
            </w:hyperlink>
          </w:p>
        </w:tc>
        <w:tc>
          <w:tcPr>
            <w:tcW w:w="5560" w:type="dxa"/>
            <w:vAlign w:val="bottom"/>
            <w:tcBorders>
              <w:bottom w:val="single" w:sz="8" w:color="CCEEFF"/>
            </w:tcBorders>
            <w:gridSpan w:val="19"/>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5"/>
                <w:szCs w:val="15"/>
                <w:color w:val="auto"/>
              </w:rPr>
            </w:pPr>
          </w:p>
        </w:tc>
        <w:tc>
          <w:tcPr>
            <w:tcW w:w="10000" w:type="dxa"/>
            <w:vAlign w:val="bottom"/>
            <w:gridSpan w:val="28"/>
          </w:tcPr>
          <w:p>
            <w:pPr>
              <w:ind w:left="20"/>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Registered Warrant for February 2021 Private Placement (9)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7"/>
                <w:szCs w:val="17"/>
                <w:color w:val="auto"/>
              </w:rPr>
            </w:pPr>
          </w:p>
        </w:tc>
        <w:tc>
          <w:tcPr>
            <w:tcW w:w="10000" w:type="dxa"/>
            <w:vAlign w:val="bottom"/>
            <w:gridSpan w:val="28"/>
            <w:shd w:val="clear" w:color="auto" w:fill="CCEEFF"/>
          </w:tcPr>
          <w:p>
            <w:pPr>
              <w:ind w:left="20"/>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Unregistered Warrant for February 2021 Private Placement (9)</w:t>
              </w:r>
            </w:hyperlink>
          </w:p>
        </w:tc>
      </w:tr>
      <w:tr>
        <w:trPr>
          <w:trHeight w:val="682"/>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440" w:type="dxa"/>
            <w:vAlign w:val="bottom"/>
            <w:tcBorders>
              <w:top w:val="single" w:sz="8" w:color="0000EE"/>
              <w:bottom w:val="single" w:sz="8" w:color="auto"/>
            </w:tcBorders>
            <w:gridSpan w:val="9"/>
          </w:tcPr>
          <w:p>
            <w:pPr>
              <w:ind w:left="434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10000" w:type="dxa"/>
            <w:vAlign w:val="bottom"/>
            <w:gridSpan w:val="25"/>
            <w:shd w:val="clear" w:color="auto" w:fill="CCEEFF"/>
          </w:tcPr>
          <w:p>
            <w:pPr>
              <w:ind w:left="20"/>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Unregistered Warrant for August 2021 Private Placement (14)</w:t>
              </w:r>
            </w:hyperlink>
          </w:p>
        </w:tc>
      </w:tr>
      <w:tr>
        <w:trPr>
          <w:trHeight w:val="176"/>
        </w:trPr>
        <w:tc>
          <w:tcPr>
            <w:tcW w:w="12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5100" w:type="dxa"/>
            <w:vAlign w:val="bottom"/>
            <w:tcBorders>
              <w:top w:val="single" w:sz="8" w:color="0000EE"/>
            </w:tcBorders>
            <w:gridSpan w:val="13"/>
          </w:tcPr>
          <w:p>
            <w:pPr>
              <w:ind w:left="20"/>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Warrant for September 2021 Public Offering (15)</w:t>
              </w:r>
            </w:hyperlink>
          </w:p>
        </w:tc>
        <w:tc>
          <w:tcPr>
            <w:tcW w:w="4900" w:type="dxa"/>
            <w:vAlign w:val="bottom"/>
            <w:tcBorders>
              <w:top w:val="single" w:sz="8" w:color="CCEEFF"/>
            </w:tcBorders>
            <w:gridSpan w:val="12"/>
          </w:tcPr>
          <w:p>
            <w:pPr>
              <w:spacing w:after="0"/>
              <w:rPr>
                <w:sz w:val="15"/>
                <w:szCs w:val="15"/>
                <w:color w:val="auto"/>
              </w:rPr>
            </w:pPr>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Warrant for January 2023 Public Offering (20)</w:t>
              </w:r>
            </w:hyperlink>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Pre-Funded Warrant for January 2023 Public Offering (20)</w:t>
              </w:r>
            </w:hyperlink>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Series A-1 Warrant (27)</w:t>
              </w:r>
            </w:hyperlink>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Series A-2 Warrant (27)</w:t>
              </w:r>
            </w:hyperlink>
          </w:p>
        </w:tc>
      </w:tr>
      <w:tr>
        <w:trPr>
          <w:trHeight w:val="20"/>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2360" w:type="dxa"/>
            <w:vAlign w:val="bottom"/>
            <w:tcBorders>
              <w:bottom w:val="single" w:sz="8" w:color="0000EE"/>
            </w:tcBorders>
            <w:gridSpan w:val="4"/>
            <w:shd w:val="clear" w:color="auto" w:fill="CCEEFF"/>
          </w:tcPr>
          <w:p>
            <w:pPr>
              <w:ind w:left="20"/>
              <w:spacing w:after="0" w:line="176"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Form of Series B-1 Warrant (27)</w:t>
              </w:r>
            </w:hyperlink>
          </w:p>
        </w:tc>
        <w:tc>
          <w:tcPr>
            <w:tcW w:w="7640" w:type="dxa"/>
            <w:vAlign w:val="bottom"/>
            <w:tcBorders>
              <w:bottom w:val="single" w:sz="8" w:color="CCEEFF"/>
            </w:tcBorders>
            <w:gridSpan w:val="21"/>
            <w:shd w:val="clear" w:color="auto" w:fill="CCEEFF"/>
          </w:tcPr>
          <w:p>
            <w:pPr>
              <w:spacing w:after="0"/>
              <w:rPr>
                <w:sz w:val="17"/>
                <w:szCs w:val="17"/>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Series B-2 Warrant (27)</w:t>
              </w:r>
            </w:hyperlink>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2220" w:type="dxa"/>
            <w:vAlign w:val="bottom"/>
            <w:tcBorders>
              <w:bottom w:val="single" w:sz="8" w:color="0000EE"/>
            </w:tcBorders>
            <w:gridSpan w:val="3"/>
            <w:shd w:val="clear" w:color="auto" w:fill="CCEEFF"/>
          </w:tcPr>
          <w:p>
            <w:pPr>
              <w:ind w:left="20"/>
              <w:spacing w:after="0" w:line="176" w:lineRule="exact"/>
              <w:rPr>
                <w:rFonts w:ascii="Times New Roman" w:cs="Times New Roman" w:eastAsia="Times New Roman" w:hAnsi="Times New Roman"/>
                <w:sz w:val="18"/>
                <w:szCs w:val="18"/>
                <w:color w:val="0000EE"/>
                <w:w w:val="97"/>
              </w:rPr>
            </w:pPr>
            <w:hyperlink r:id="rId53">
              <w:r>
                <w:rPr>
                  <w:rFonts w:ascii="Times New Roman" w:cs="Times New Roman" w:eastAsia="Times New Roman" w:hAnsi="Times New Roman"/>
                  <w:sz w:val="18"/>
                  <w:szCs w:val="18"/>
                  <w:color w:val="0000EE"/>
                  <w:w w:val="97"/>
                </w:rPr>
                <w:t>Form of Series A Warrant (28)</w:t>
              </w:r>
            </w:hyperlink>
          </w:p>
        </w:tc>
        <w:tc>
          <w:tcPr>
            <w:tcW w:w="7780" w:type="dxa"/>
            <w:vAlign w:val="bottom"/>
            <w:tcBorders>
              <w:bottom w:val="single" w:sz="8" w:color="CCEEFF"/>
            </w:tcBorders>
            <w:gridSpan w:val="22"/>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Series B Warrant (28)</w:t>
              </w:r>
            </w:hyperlink>
          </w:p>
        </w:tc>
      </w:tr>
      <w:tr>
        <w:trPr>
          <w:trHeight w:val="20"/>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Pre-Funded Warrant (28)</w:t>
              </w:r>
            </w:hyperlink>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Rights Agreement, dated as of November 1, 2024, between the Company and Nevada Agency and Transfer Company (23)</w:t>
              </w:r>
            </w:hyperlink>
          </w:p>
        </w:tc>
      </w:tr>
      <w:tr>
        <w:trPr>
          <w:trHeight w:val="20"/>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Series C Warrant (31)</w:t>
              </w:r>
            </w:hyperlink>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4.24**</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Series D Warrant (31)</w:t>
              </w:r>
            </w:hyperlink>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Pre-Funded Warrant (31)</w:t>
              </w:r>
            </w:hyperlink>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Opinion of Sullivan &amp; Worcester LLP (34)</w:t>
              </w:r>
            </w:hyperlink>
          </w:p>
        </w:tc>
      </w:tr>
      <w:tr>
        <w:trPr>
          <w:trHeight w:val="20"/>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560" w:type="dxa"/>
            <w:vAlign w:val="bottom"/>
            <w:tcBorders>
              <w:bottom w:val="single" w:sz="8" w:color="0000EE"/>
            </w:tcBorders>
            <w:gridSpan w:val="6"/>
            <w:shd w:val="clear" w:color="auto" w:fill="CCEEFF"/>
          </w:tcPr>
          <w:p>
            <w:pPr>
              <w:ind w:left="20"/>
              <w:spacing w:after="0" w:line="17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2013 Long Term Incentive Plan (1)</w:t>
              </w:r>
            </w:hyperlink>
          </w:p>
        </w:tc>
        <w:tc>
          <w:tcPr>
            <w:tcW w:w="7440" w:type="dxa"/>
            <w:vAlign w:val="bottom"/>
            <w:tcBorders>
              <w:bottom w:val="single" w:sz="8" w:color="CCEEFF"/>
            </w:tcBorders>
            <w:gridSpan w:val="19"/>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Forms of Agreement under 2013 Long Term Incentive Plan (1)</w:t>
              </w:r>
            </w:hyperlink>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160" w:type="dxa"/>
            <w:vAlign w:val="bottom"/>
            <w:tcBorders>
              <w:bottom w:val="single" w:sz="8" w:color="0000EE"/>
            </w:tcBorders>
            <w:shd w:val="clear" w:color="auto" w:fill="CCEEFF"/>
          </w:tcPr>
          <w:p>
            <w:pPr>
              <w:ind w:left="20"/>
              <w:spacing w:after="0" w:line="17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2017 Stock Incentive Plan (4)</w:t>
              </w:r>
            </w:hyperlink>
          </w:p>
        </w:tc>
        <w:tc>
          <w:tcPr>
            <w:tcW w:w="7840" w:type="dxa"/>
            <w:vAlign w:val="bottom"/>
            <w:tcBorders>
              <w:bottom w:val="single" w:sz="8" w:color="CCEEFF"/>
            </w:tcBorders>
            <w:gridSpan w:val="24"/>
            <w:shd w:val="clear" w:color="auto" w:fill="CCEEFF"/>
          </w:tcPr>
          <w:p>
            <w:pPr>
              <w:spacing w:after="0"/>
              <w:rPr>
                <w:sz w:val="17"/>
                <w:szCs w:val="17"/>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Securities Purchase Agreement for July 2020 Offering (5)</w:t>
              </w:r>
            </w:hyperlink>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Securities Purchase Agreement for December 2020 Offering (6</w:t>
              </w:r>
            </w:hyperlink>
            <w:r>
              <w:rPr>
                <w:rFonts w:ascii="Times New Roman" w:cs="Times New Roman" w:eastAsia="Times New Roman" w:hAnsi="Times New Roman"/>
                <w:sz w:val="18"/>
                <w:szCs w:val="18"/>
                <w:color w:val="000000"/>
              </w:rPr>
              <w:t>)</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Warrant Amendment and Exercise Agreement, dated January 8, 2021 (7)</w:t>
              </w:r>
            </w:hyperlink>
          </w:p>
        </w:tc>
      </w:tr>
      <w:tr>
        <w:trPr>
          <w:trHeight w:val="20"/>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516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Form of Securities Purchase Agreement for February 2021 Offering (9)</w:t>
              </w:r>
            </w:hyperlink>
          </w:p>
        </w:tc>
        <w:tc>
          <w:tcPr>
            <w:tcW w:w="484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Securities Purchase Agreement for August 2021 Private Placement (14)</w:t>
              </w:r>
            </w:hyperlink>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860" w:type="dxa"/>
            <w:vAlign w:val="bottom"/>
            <w:tcBorders>
              <w:bottom w:val="single" w:sz="8" w:color="0000EE"/>
            </w:tcBorders>
            <w:gridSpan w:val="23"/>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Form of Voting Agreement by and between the Company and certain investors in the September 2021 Public Offering (15)</w:t>
              </w:r>
            </w:hyperlink>
          </w:p>
        </w:tc>
        <w:tc>
          <w:tcPr>
            <w:tcW w:w="114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Lease Agreement, dated June 2, 2020, by and between LogicMark LLC and Moorman Properties, LLC (10)</w:t>
              </w:r>
            </w:hyperlink>
          </w:p>
        </w:tc>
      </w:tr>
      <w:tr>
        <w:trPr>
          <w:trHeight w:val="21"/>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Settlement Agreement, dated August 11, 2021, by and between the Company and Giesecke+Devrient Mobile Security America, Inc. (12)</w:t>
              </w:r>
            </w:hyperlink>
          </w:p>
        </w:tc>
      </w:tr>
      <w:tr>
        <w:trPr>
          <w:trHeight w:val="176"/>
        </w:trPr>
        <w:tc>
          <w:tcPr>
            <w:tcW w:w="12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9880" w:type="dxa"/>
            <w:vAlign w:val="bottom"/>
            <w:tcBorders>
              <w:top w:val="single" w:sz="8" w:color="0000EE"/>
            </w:tcBorders>
            <w:gridSpan w:val="24"/>
          </w:tcPr>
          <w:p>
            <w:pPr>
              <w:ind w:left="20"/>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Employment Agreement, entered into on January 8, 2021, by and between the Company and Vincent S. Miceli (8)</w:t>
              </w:r>
            </w:hyperlink>
          </w:p>
        </w:tc>
        <w:tc>
          <w:tcPr>
            <w:tcW w:w="120" w:type="dxa"/>
            <w:vAlign w:val="bottom"/>
            <w:tcBorders>
              <w:top w:val="single" w:sz="8" w:color="CCEEFF"/>
            </w:tcBorders>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00" w:type="dxa"/>
            <w:vAlign w:val="bottom"/>
            <w:gridSpan w:val="25"/>
            <w:shd w:val="clear" w:color="auto" w:fill="CCEEFF"/>
          </w:tcPr>
          <w:p>
            <w:pPr>
              <w:ind w:left="20"/>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Letter Agreement, effective as of August 1, 2021, by and between the Company and Vincent S. Miceli (13)</w:t>
              </w:r>
            </w:hyperlink>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000" w:type="dxa"/>
            <w:vAlign w:val="bottom"/>
            <w:gridSpan w:val="25"/>
          </w:tcPr>
          <w:p>
            <w:pPr>
              <w:ind w:left="20"/>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Employment Agreement, dated as of June 8, 2021, by and between the Company and Chia-Lin Simmons (11)</w:t>
              </w:r>
            </w:hyperlink>
          </w:p>
        </w:tc>
      </w:tr>
      <w:tr>
        <w:trPr>
          <w:trHeight w:val="703"/>
        </w:trPr>
        <w:tc>
          <w:tcPr>
            <w:tcW w:w="1240" w:type="dxa"/>
            <w:vAlign w:val="bottom"/>
            <w:tcBorders>
              <w:bottom w:val="single" w:sz="8" w:color="auto"/>
            </w:tcBorders>
          </w:tcPr>
          <w:p>
            <w:pPr>
              <w:spacing w:after="0"/>
              <w:rPr>
                <w:sz w:val="24"/>
                <w:szCs w:val="24"/>
                <w:color w:val="auto"/>
              </w:rPr>
            </w:pPr>
          </w:p>
        </w:tc>
        <w:tc>
          <w:tcPr>
            <w:tcW w:w="4540" w:type="dxa"/>
            <w:vAlign w:val="bottom"/>
            <w:tcBorders>
              <w:top w:val="single" w:sz="8" w:color="0000EE"/>
              <w:bottom w:val="single" w:sz="8" w:color="auto"/>
            </w:tcBorders>
            <w:gridSpan w:val="10"/>
          </w:tcPr>
          <w:p>
            <w:pPr>
              <w:ind w:left="43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10.15**†</w:t>
            </w:r>
          </w:p>
        </w:tc>
        <w:tc>
          <w:tcPr>
            <w:tcW w:w="10000" w:type="dxa"/>
            <w:vAlign w:val="bottom"/>
            <w:gridSpan w:val="23"/>
            <w:shd w:val="clear" w:color="auto" w:fill="CCEEFF"/>
          </w:tcPr>
          <w:p>
            <w:pPr>
              <w:ind w:left="20"/>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Executive Employment Agreement, dated as of November 2, 2022, by and between the Company and Chia-Lin Simmons (19)</w:t>
              </w:r>
            </w:hyperlink>
          </w:p>
        </w:tc>
      </w:tr>
      <w:tr>
        <w:trPr>
          <w:trHeight w:val="176"/>
        </w:trPr>
        <w:tc>
          <w:tcPr>
            <w:tcW w:w="12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9100" w:type="dxa"/>
            <w:vAlign w:val="bottom"/>
            <w:tcBorders>
              <w:top w:val="single" w:sz="8" w:color="0000EE"/>
            </w:tcBorders>
            <w:gridSpan w:val="21"/>
          </w:tcPr>
          <w:p>
            <w:pPr>
              <w:ind w:left="20"/>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Agreement, dated as of July 15, 2021, by and between the Company and FLG Partners, LLC (13)</w:t>
              </w:r>
            </w:hyperlink>
          </w:p>
        </w:tc>
        <w:tc>
          <w:tcPr>
            <w:tcW w:w="900" w:type="dxa"/>
            <w:vAlign w:val="bottom"/>
            <w:tcBorders>
              <w:top w:val="single" w:sz="8" w:color="CCEEFF"/>
            </w:tcBorders>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000" w:type="dxa"/>
            <w:vAlign w:val="bottom"/>
            <w:gridSpan w:val="23"/>
            <w:shd w:val="clear" w:color="auto" w:fill="CCEEFF"/>
          </w:tcPr>
          <w:p>
            <w:pPr>
              <w:ind w:left="20"/>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First Amendment to Agreement, dated as of February 15, 2022, by and between the Company and FLG Partners, LLC (18)</w:t>
              </w:r>
            </w:hyperlink>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00" w:type="dxa"/>
            <w:vAlign w:val="bottom"/>
            <w:tcBorders>
              <w:bottom w:val="single" w:sz="8" w:color="0000EE"/>
            </w:tcBorders>
            <w:gridSpan w:val="23"/>
          </w:tcPr>
          <w:p>
            <w:pPr>
              <w:ind w:left="20"/>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Voting Agreement, dated January 25, 2023, by and between the Company and certain investors in the January 2023 Public</w:t>
              </w:r>
            </w:hyperlink>
          </w:p>
        </w:tc>
      </w:tr>
      <w:tr>
        <w:trPr>
          <w:trHeight w:val="196"/>
        </w:trPr>
        <w:tc>
          <w:tcPr>
            <w:tcW w:w="1240" w:type="dxa"/>
            <w:vAlign w:val="bottom"/>
          </w:tcPr>
          <w:p>
            <w:pPr>
              <w:spacing w:after="0"/>
              <w:rPr>
                <w:sz w:val="17"/>
                <w:szCs w:val="17"/>
                <w:color w:val="auto"/>
              </w:rPr>
            </w:pP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Offering (20)</w:t>
              </w:r>
            </w:hyperlink>
          </w:p>
        </w:tc>
      </w:tr>
      <w:tr>
        <w:trPr>
          <w:trHeight w:val="21"/>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000" w:type="dxa"/>
            <w:vAlign w:val="bottom"/>
            <w:tcBorders>
              <w:bottom w:val="single" w:sz="8" w:color="0000EE"/>
            </w:tcBorders>
            <w:gridSpan w:val="23"/>
            <w:shd w:val="clear" w:color="auto" w:fill="CCEEFF"/>
          </w:tcPr>
          <w:p>
            <w:pPr>
              <w:ind w:left="20"/>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Warrant Agency Agreement, dated January 25, 2023, by and between the Company and Nevada Agency and Transfer</w:t>
              </w:r>
            </w:hyperlink>
          </w:p>
        </w:tc>
      </w:tr>
      <w:tr>
        <w:trPr>
          <w:trHeight w:val="217"/>
        </w:trPr>
        <w:tc>
          <w:tcPr>
            <w:tcW w:w="1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0000EE"/>
            </w:tcBorders>
            <w:gridSpan w:val="3"/>
            <w:shd w:val="clear" w:color="auto" w:fill="CCEEFF"/>
          </w:tcPr>
          <w:p>
            <w:pPr>
              <w:ind w:left="20"/>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Company (20)</w:t>
              </w:r>
            </w:hyperlink>
          </w:p>
        </w:tc>
        <w:tc>
          <w:tcPr>
            <w:tcW w:w="8940" w:type="dxa"/>
            <w:vAlign w:val="bottom"/>
            <w:tcBorders>
              <w:bottom w:val="single" w:sz="8" w:color="CCEEFF"/>
            </w:tcBorders>
            <w:gridSpan w:val="20"/>
            <w:shd w:val="clear" w:color="auto" w:fill="CCEEFF"/>
          </w:tcPr>
          <w:p>
            <w:pPr>
              <w:spacing w:after="0"/>
              <w:rPr>
                <w:sz w:val="18"/>
                <w:szCs w:val="18"/>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Indemnification Agreement (22)</w:t>
              </w:r>
            </w:hyperlink>
          </w:p>
        </w:tc>
      </w:tr>
      <w:tr>
        <w:trPr>
          <w:trHeight w:val="20"/>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000" w:type="dxa"/>
            <w:vAlign w:val="bottom"/>
            <w:gridSpan w:val="23"/>
            <w:shd w:val="clear" w:color="auto" w:fill="CCEEFF"/>
          </w:tcPr>
          <w:p>
            <w:pPr>
              <w:ind w:left="20"/>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LogicMark, Inc. 2023 Stock Incentive Plan (26)</w:t>
              </w:r>
            </w:hyperlink>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Restricted Stock Award Agreement for LogicMark, Inc. 2023 Stock Incentive Plan (26)</w:t>
              </w:r>
            </w:hyperlink>
          </w:p>
        </w:tc>
      </w:tr>
      <w:tr>
        <w:trPr>
          <w:trHeight w:val="21"/>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6200" w:type="dxa"/>
            <w:vAlign w:val="bottom"/>
            <w:tcBorders>
              <w:bottom w:val="single" w:sz="8" w:color="0000EE"/>
            </w:tcBorders>
            <w:gridSpan w:val="12"/>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Form of Stock Option Agreement for LogicMark, Inc. 2023 Stock Incentive Plan (26)</w:t>
              </w:r>
            </w:hyperlink>
          </w:p>
        </w:tc>
        <w:tc>
          <w:tcPr>
            <w:tcW w:w="380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2021 Inducement Agreement by and between the Company and each holder (29)</w:t>
              </w:r>
            </w:hyperlink>
          </w:p>
        </w:tc>
      </w:tr>
      <w:tr>
        <w:trPr>
          <w:trHeight w:val="20"/>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6460" w:type="dxa"/>
            <w:vAlign w:val="bottom"/>
            <w:tcBorders>
              <w:bottom w:val="single" w:sz="8" w:color="0000EE"/>
            </w:tcBorders>
            <w:gridSpan w:val="13"/>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of 2023 Inducement Agreement by and between the Company and each holder (29)</w:t>
              </w:r>
            </w:hyperlink>
          </w:p>
        </w:tc>
        <w:tc>
          <w:tcPr>
            <w:tcW w:w="3540" w:type="dxa"/>
            <w:vAlign w:val="bottom"/>
            <w:tcBorders>
              <w:bottom w:val="single" w:sz="8" w:color="CCEEFF"/>
            </w:tcBorders>
            <w:gridSpan w:val="10"/>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Securities Purchase Agreement for August 2024 Offering (28)</w:t>
              </w:r>
            </w:hyperlink>
          </w:p>
        </w:tc>
      </w:tr>
      <w:tr>
        <w:trPr>
          <w:trHeight w:val="20"/>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4900" w:type="dxa"/>
            <w:vAlign w:val="bottom"/>
            <w:tcBorders>
              <w:bottom w:val="single" w:sz="8" w:color="0000EE"/>
            </w:tcBorders>
            <w:gridSpan w:val="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Warrant Agency Agreement for August 2024 Offering (28)</w:t>
              </w:r>
            </w:hyperlink>
          </w:p>
        </w:tc>
        <w:tc>
          <w:tcPr>
            <w:tcW w:w="5100" w:type="dxa"/>
            <w:vAlign w:val="bottom"/>
            <w:tcBorders>
              <w:bottom w:val="single" w:sz="8" w:color="CCEEFF"/>
            </w:tcBorders>
            <w:gridSpan w:val="16"/>
            <w:shd w:val="clear" w:color="auto" w:fill="CCEEFF"/>
          </w:tcPr>
          <w:p>
            <w:pPr>
              <w:spacing w:after="0"/>
              <w:rPr>
                <w:sz w:val="17"/>
                <w:szCs w:val="17"/>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Placement Agency Agreement, for August 2024 Offering (28)</w:t>
              </w:r>
            </w:hyperlink>
          </w:p>
        </w:tc>
      </w:tr>
      <w:tr>
        <w:trPr>
          <w:trHeight w:val="21"/>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0000" w:type="dxa"/>
            <w:vAlign w:val="bottom"/>
            <w:gridSpan w:val="23"/>
            <w:shd w:val="clear" w:color="auto" w:fill="CCEEFF"/>
          </w:tcPr>
          <w:p>
            <w:pPr>
              <w:ind w:left="20"/>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Settlement Agreement and Release, by and among the Company and the signatories thereto (30)</w:t>
              </w:r>
            </w:hyperlink>
          </w:p>
        </w:tc>
      </w:tr>
      <w:tr>
        <w:trPr>
          <w:trHeight w:val="176"/>
        </w:trPr>
        <w:tc>
          <w:tcPr>
            <w:tcW w:w="12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7560" w:type="dxa"/>
            <w:vAlign w:val="bottom"/>
            <w:tcBorders>
              <w:top w:val="single" w:sz="8" w:color="0000EE"/>
            </w:tcBorders>
            <w:gridSpan w:val="18"/>
          </w:tcPr>
          <w:p>
            <w:pPr>
              <w:ind w:left="20"/>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Registration Rights Agreement, by and among the Company and the signatories thereto (30)</w:t>
              </w:r>
            </w:hyperlink>
          </w:p>
        </w:tc>
        <w:tc>
          <w:tcPr>
            <w:tcW w:w="2440" w:type="dxa"/>
            <w:vAlign w:val="bottom"/>
            <w:tcBorders>
              <w:top w:val="single" w:sz="8" w:color="CCEEFF"/>
            </w:tcBorders>
            <w:gridSpan w:val="5"/>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8200" w:type="dxa"/>
            <w:vAlign w:val="bottom"/>
            <w:tcBorders>
              <w:bottom w:val="single" w:sz="8" w:color="0000EE"/>
            </w:tcBorders>
            <w:gridSpan w:val="1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Securities Purchase Agreement, between the Company and each purchaser, dated February 18, 2025 (31)</w:t>
              </w:r>
            </w:hyperlink>
          </w:p>
        </w:tc>
        <w:tc>
          <w:tcPr>
            <w:tcW w:w="180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Warrant Agency Agreement, between the Company and Nevada Agency and Transfer Company, dated February 18, 2025 (31)</w:t>
              </w:r>
            </w:hyperlink>
          </w:p>
        </w:tc>
      </w:tr>
      <w:tr>
        <w:trPr>
          <w:trHeight w:val="21"/>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000" w:type="dxa"/>
            <w:vAlign w:val="bottom"/>
            <w:tcBorders>
              <w:bottom w:val="single" w:sz="8" w:color="0000EE"/>
            </w:tcBorders>
            <w:gridSpan w:val="23"/>
            <w:shd w:val="clear" w:color="auto" w:fill="CCEEFF"/>
          </w:tcPr>
          <w:p>
            <w:pPr>
              <w:ind w:left="20"/>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Placement Agency Agreement between the Company and Roth Capital Partners, LLC, as lead placement agent, dated February 18, 2025</w:t>
              </w:r>
            </w:hyperlink>
          </w:p>
        </w:tc>
      </w:tr>
      <w:tr>
        <w:trPr>
          <w:trHeight w:val="196"/>
        </w:trPr>
        <w:tc>
          <w:tcPr>
            <w:tcW w:w="1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(31)</w:t>
              </w:r>
            </w:hyperlink>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Consent of BPM LLP, Independent Registered Public Accounting Firm (34)</w:t>
              </w:r>
            </w:hyperlink>
          </w:p>
        </w:tc>
      </w:tr>
      <w:tr>
        <w:trPr>
          <w:trHeight w:val="20"/>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4920" w:type="dxa"/>
            <w:vAlign w:val="bottom"/>
            <w:tcBorders>
              <w:bottom w:val="single" w:sz="8" w:color="0000EE"/>
            </w:tcBorders>
            <w:gridSpan w:val="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Consent of Sullivan &amp; Worcester LLP (included in Exhibit 5.1) (34)</w:t>
              </w:r>
            </w:hyperlink>
          </w:p>
        </w:tc>
        <w:tc>
          <w:tcPr>
            <w:tcW w:w="5080" w:type="dxa"/>
            <w:vAlign w:val="bottom"/>
            <w:tcBorders>
              <w:bottom w:val="single" w:sz="8" w:color="CCEEFF"/>
            </w:tcBorders>
            <w:gridSpan w:val="15"/>
            <w:shd w:val="clear" w:color="auto" w:fill="CCEEFF"/>
          </w:tcPr>
          <w:p>
            <w:pPr>
              <w:spacing w:after="0"/>
              <w:rPr>
                <w:sz w:val="17"/>
                <w:szCs w:val="17"/>
                <w:color w:val="auto"/>
              </w:rPr>
            </w:pPr>
          </w:p>
        </w:tc>
      </w:tr>
      <w:tr>
        <w:trPr>
          <w:trHeight w:val="176"/>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Consent of BPM LLP, Independent Registered Public Accounting Firm (35)</w:t>
              </w:r>
            </w:hyperlink>
          </w:p>
        </w:tc>
      </w:tr>
      <w:tr>
        <w:trPr>
          <w:trHeight w:val="20"/>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0000" w:type="dxa"/>
            <w:vAlign w:val="bottom"/>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BPM LLP, Independent Registered Public Accounting Firm</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00" w:type="dxa"/>
            <w:vAlign w:val="bottom"/>
            <w:gridSpan w:val="23"/>
          </w:tcPr>
          <w:p>
            <w:pPr>
              <w:ind w:left="20"/>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Power of Attorney (included on the signature page of the initial filing of this registration statement)</w:t>
              </w:r>
            </w:hyperlink>
          </w:p>
        </w:tc>
      </w:tr>
      <w:tr>
        <w:trPr>
          <w:trHeight w:val="21"/>
        </w:trPr>
        <w:tc>
          <w:tcPr>
            <w:tcW w:w="1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00" w:type="dxa"/>
            <w:vAlign w:val="bottom"/>
            <w:gridSpan w:val="23"/>
            <w:shd w:val="clear" w:color="auto" w:fill="CCEEFF"/>
          </w:tcPr>
          <w:p>
            <w:pPr>
              <w:ind w:left="20"/>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Filing Fee Table (34)</w:t>
              </w:r>
            </w:hyperlink>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bl>
    <w:p>
      <w:pPr>
        <w:spacing w:after="0" w:line="130" w:lineRule="exact"/>
        <w:rPr>
          <w:sz w:val="20"/>
          <w:szCs w:val="20"/>
          <w:color w:val="auto"/>
        </w:rPr>
      </w:pPr>
    </w:p>
    <w:p>
      <w:pPr>
        <w:ind w:right="9600" w:firstLine="8"/>
        <w:spacing w:after="0" w:line="261" w:lineRule="auto"/>
        <w:tabs>
          <w:tab w:leader="none" w:pos="4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9"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(File No. 333-186331) with the SEC on January 31, 2013.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September 12, 2016.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May 30, 2017.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(File No. 333-226116) with the SEC on July 10, 2018.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8-K/A with the SEC on July 13, 2020.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December 18, 2020.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8,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14,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February 1,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15,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June 17,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13,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August 16,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17,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S-1/A (File No. 333-259105) with the SEC on September 14,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October 15,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March 2,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15,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4,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26,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April 27,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June 2,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 2024.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14, 2024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18, 2024.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August 11,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21,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5, 2024.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8-K/A with the SEC on November 21,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November 14, 2024.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February 18, 2025.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March 27, 2025.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March 28, 2025.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as amended (File No. 333-284135), with the SEC on February 11, 2025.</w:t>
      </w:r>
    </w:p>
    <w:p>
      <w:pPr>
        <w:spacing w:after="0" w:line="9" w:lineRule="exact"/>
        <w:rPr>
          <w:rFonts w:ascii="Times New Roman" w:cs="Times New Roman" w:eastAsia="Times New Roman" w:hAnsi="Times New Roman"/>
          <w:sz w:val="18"/>
          <w:szCs w:val="18"/>
          <w:color w:val="auto"/>
        </w:rPr>
      </w:pPr>
    </w:p>
    <w:p>
      <w:pPr>
        <w:ind w:left="460" w:right="20" w:hanging="452"/>
        <w:spacing w:after="0" w:line="26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Post-Effective Amendment No. 1 to its Registration Statement on Form S-1, as amended (File No. 333-284135), filed with the SEC on March 31, 2025.</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4" w:right="339" w:bottom="24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Post-Effective Amendment No. 2 to the Registration Statement on Form S-1 to be signed on its behalf by the undersigned, thereunto duly authorized, in the City of Louisville, in the State of Kentucky, on March 27,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LogicMark, Inc.</w:t>
            </w:r>
          </w:p>
        </w:tc>
      </w:tr>
      <w:tr>
        <w:trPr>
          <w:trHeight w:val="43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Mark Archer</w:t>
            </w:r>
          </w:p>
        </w:tc>
      </w:tr>
      <w:tr>
        <w:trPr>
          <w:trHeight w:val="198"/>
        </w:trPr>
        <w:tc>
          <w:tcPr>
            <w:tcW w:w="4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Archer</w:t>
            </w:r>
          </w:p>
        </w:tc>
      </w:tr>
      <w:tr>
        <w:trPr>
          <w:trHeight w:val="234"/>
        </w:trPr>
        <w:tc>
          <w:tcPr>
            <w:tcW w:w="4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2 to the Registration Statement on Form S-1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Chia-Lin Simmons</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Mark Archer</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Carine Schneider</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John Pettitt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Barbara Gutierrez</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Robert Curtis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Mark Archer</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Archer</w:t>
            </w: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2 to Registration Statement on Form S-1 (File No. 333-284135) of LogicMark, Inc. of our report dated March 27, 2026 relating to the financial statements, which appears in LogicMark, Inc.’s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Rosa,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98" Type="http://schemas.openxmlformats.org/officeDocument/2006/relationships/image" Target="media/image7.png"/><Relationship Id="rId99" Type="http://schemas.openxmlformats.org/officeDocument/2006/relationships/image" Target="media/image8.png"/><Relationship Id="rId14" Type="http://schemas.openxmlformats.org/officeDocument/2006/relationships/hyperlink" Target="https://www.sec.gov/Archives/edgar/data/1566826/000121390017005991/f8k052317ex10i_nxtidinc.htm" TargetMode="External"/><Relationship Id="rId15" Type="http://schemas.openxmlformats.org/officeDocument/2006/relationships/hyperlink" Target="https://www.sec.gov/Archives/edgar/data/1566826/000121390023045830/ea179516ex2-1_logic.htm" TargetMode="External"/><Relationship Id="rId16" Type="http://schemas.openxmlformats.org/officeDocument/2006/relationships/hyperlink" Target="https://www.sec.gov/Archives/edgar/data/1566826/000101968713000299/ex_0301.htm" TargetMode="External"/><Relationship Id="rId17" Type="http://schemas.openxmlformats.org/officeDocument/2006/relationships/hyperlink" Target="https://www.sec.gov/Archives/edgar/data/1566826/000121390016016672/f8k090916ex3i_nxtidinc.htm" TargetMode="External"/><Relationship Id="rId18" Type="http://schemas.openxmlformats.org/officeDocument/2006/relationships/hyperlink" Target="https://www.sec.gov/Archives/edgar/data/1566826/000121390021053078/ea148964ex3-1ia_nxtidinc.htm" TargetMode="External"/><Relationship Id="rId19" Type="http://schemas.openxmlformats.org/officeDocument/2006/relationships/hyperlink" Target="https://www.sec.gov/Archives/edgar/data/1566826/000121390022010402/ea156417ex3-1_logicmark.htm" TargetMode="External"/><Relationship Id="rId20" Type="http://schemas.openxmlformats.org/officeDocument/2006/relationships/hyperlink" Target="https://www.sec.gov/Archives/edgar/data/1566826/000121390017005991/f8k052317ex3i_nxtidinc.htm" TargetMode="External"/><Relationship Id="rId21" Type="http://schemas.openxmlformats.org/officeDocument/2006/relationships/hyperlink" Target="https://www.sec.gov/Archives/edgar/data/1566826/000121390021053078/ea148964ex3-1ib_nxtidinc.htm" TargetMode="External"/><Relationship Id="rId22" Type="http://schemas.openxmlformats.org/officeDocument/2006/relationships/hyperlink" Target="https://www.sec.gov/Archives/edgar/data/1566826/000121390021043275/ea146008ex3-1_nxtidinc.htm" TargetMode="External"/><Relationship Id="rId23" Type="http://schemas.openxmlformats.org/officeDocument/2006/relationships/hyperlink" Target="https://www.sec.gov/Archives/edgar/data/1566826/000121390023032941/ea177466ex3-1ia_logicmark.htm" TargetMode="External"/><Relationship Id="rId24" Type="http://schemas.openxmlformats.org/officeDocument/2006/relationships/hyperlink" Target="https://www.sec.gov/Archives/edgar/data/1566826/000121390023032941/ea177466ex3-1ib_logicmark.htm" TargetMode="External"/><Relationship Id="rId25" Type="http://schemas.openxmlformats.org/officeDocument/2006/relationships/hyperlink" Target="https://www.sec.gov/Archives/edgar/data/1566826/000121390023045830/ea179516ex3-1ia_logic.htm" TargetMode="External"/><Relationship Id="rId26" Type="http://schemas.openxmlformats.org/officeDocument/2006/relationships/hyperlink" Target="https://www.sec.gov/Archives/edgar/data/1566826/000121390023045830/ea179516ex3-1ib_logic.htm" TargetMode="External"/><Relationship Id="rId27" Type="http://schemas.openxmlformats.org/officeDocument/2006/relationships/hyperlink" Target="https://www.sec.gov/Archives/edgar/data/1566826/000121390023045830/ea179516ex3-1ic_logic.htm" TargetMode="External"/><Relationship Id="rId28" Type="http://schemas.openxmlformats.org/officeDocument/2006/relationships/hyperlink" Target="https://www.sec.gov/Archives/edgar/data/1566826/000121390024093557/ea021949001ex3-1_logicmark.htm" TargetMode="External"/><Relationship Id="rId29" Type="http://schemas.openxmlformats.org/officeDocument/2006/relationships/hyperlink" Target="https://www.sec.gov/Archives/edgar/data/1566826/000121390024098390/ea022112901ex3-1_logicmark.htm" TargetMode="External"/><Relationship Id="rId30" Type="http://schemas.openxmlformats.org/officeDocument/2006/relationships/hyperlink" Target="https://www.sec.gov/Archives/edgar/data/1566826/000121390024098390/ea022112901ex3-2_logicmark.htm" TargetMode="External"/><Relationship Id="rId31" Type="http://schemas.openxmlformats.org/officeDocument/2006/relationships/hyperlink" Target="https://www.sec.gov/Archives/edgar/data/1566826/000121390024099722/ea022166201ex3-1ib_logic.htm" TargetMode="External"/><Relationship Id="rId32" Type="http://schemas.openxmlformats.org/officeDocument/2006/relationships/hyperlink" Target="https://www.sec.gov/Archives/edgar/data/1566826/000121390024099722/ea022166201ex3-1ia_logic.htm" TargetMode="External"/><Relationship Id="rId33" Type="http://schemas.openxmlformats.org/officeDocument/2006/relationships/hyperlink" Target="http://www.sec.gov/Archives/edgar/data/1566826/000101376225003306/ea023591901ex3-1i_logicmark.htm" TargetMode="External"/><Relationship Id="rId34" Type="http://schemas.openxmlformats.org/officeDocument/2006/relationships/hyperlink" Target="https://www.sec.gov/Archives/edgar/data/1566826/000121390023045830/ea179516ex3-1ii_logic.htm" TargetMode="External"/><Relationship Id="rId35" Type="http://schemas.openxmlformats.org/officeDocument/2006/relationships/hyperlink" Target="http://www.sec.gov/Archives/edgar/data/1566826/000101376225004370/ea022996301ex4-1_logicmark.htm" TargetMode="External"/><Relationship Id="rId36" Type="http://schemas.openxmlformats.org/officeDocument/2006/relationships/hyperlink" Target="http://www.sec.gov/Archives/edgar/data/1566826/000121390020017360/ea124087ex4-1_nxtidinc.htm" TargetMode="External"/><Relationship Id="rId37" Type="http://schemas.openxmlformats.org/officeDocument/2006/relationships/hyperlink" Target="http://www.sec.gov/Archives/edgar/data/1566826/000121390020017360/ea124087ex4-2_nxtidinc.htm" TargetMode="External"/><Relationship Id="rId38" Type="http://schemas.openxmlformats.org/officeDocument/2006/relationships/hyperlink" Target="http://www.sec.gov/Archives/edgar/data/1566826/000121390020017360/ea124087ex4-3_nxtidinc.htm" TargetMode="External"/><Relationship Id="rId39" Type="http://schemas.openxmlformats.org/officeDocument/2006/relationships/hyperlink" Target="http://www.sec.gov/Archives/edgar/data/1566826/000121390020043519/ea131906ex4-1_nxtidinc.htm" TargetMode="External"/><Relationship Id="rId40" Type="http://schemas.openxmlformats.org/officeDocument/2006/relationships/hyperlink" Target="http://www.sec.gov/Archives/edgar/data/1566826/000121390020043519/ea131906ex4-2_nxtidinc.htm" TargetMode="External"/><Relationship Id="rId41" Type="http://schemas.openxmlformats.org/officeDocument/2006/relationships/hyperlink" Target="https://www.sec.gov/Archives/edgar/data/1566826/000121390021001056/ea132968ex4-1_nxtidinc.htm" TargetMode="External"/><Relationship Id="rId42" Type="http://schemas.openxmlformats.org/officeDocument/2006/relationships/hyperlink" Target="https://www.sec.gov/Archives/edgar/data/1566826/000121390022020174/f10k2021ex4-16_logicmark.htm" TargetMode="External"/><Relationship Id="rId43" Type="http://schemas.openxmlformats.org/officeDocument/2006/relationships/hyperlink" Target="http://www.sec.gov/Archives/edgar/data/1566826/000121390021005596/ea134304ex4-1_nxtidinc.htm" TargetMode="External"/><Relationship Id="rId44" Type="http://schemas.openxmlformats.org/officeDocument/2006/relationships/hyperlink" Target="http://www.sec.gov/Archives/edgar/data/1566826/000121390021005596/ea134304ex4-2_nxtidinc.htm" TargetMode="External"/><Relationship Id="rId45" Type="http://schemas.openxmlformats.org/officeDocument/2006/relationships/hyperlink" Target="https://www.sec.gov/Archives/edgar/data/1566826/000121390021043275/ea146008ex4-1_nxtidinc.htm" TargetMode="External"/><Relationship Id="rId46" Type="http://schemas.openxmlformats.org/officeDocument/2006/relationships/hyperlink" Target="https://www.sec.gov/Archives/edgar/data/1566826/000121390021047725/ea147126ex4-33_nxtidinc.htm" TargetMode="External"/><Relationship Id="rId47" Type="http://schemas.openxmlformats.org/officeDocument/2006/relationships/hyperlink" Target="https://www.sec.gov/Archives/edgar/data/1566826/000121390023002553/ea171527ex4-21_logicmark.htm" TargetMode="External"/><Relationship Id="rId48" Type="http://schemas.openxmlformats.org/officeDocument/2006/relationships/hyperlink" Target="https://www.sec.gov/Archives/edgar/data/1566826/000121390023002553/ea171527ex4-22_logicmark.htm" TargetMode="External"/><Relationship Id="rId49" Type="http://schemas.openxmlformats.org/officeDocument/2006/relationships/hyperlink" Target="https://www.sec.gov/Archives/edgar/data/1566826/000121390023088953/ea188808ex4-1_logicmark.htm" TargetMode="External"/><Relationship Id="rId50" Type="http://schemas.openxmlformats.org/officeDocument/2006/relationships/hyperlink" Target="https://www.sec.gov/Archives/edgar/data/1566826/000121390023088953/ea188808ex4-2_logicmark.htm" TargetMode="External"/><Relationship Id="rId51" Type="http://schemas.openxmlformats.org/officeDocument/2006/relationships/hyperlink" Target="https://www.sec.gov/Archives/edgar/data/1566826/000121390023088953/ea188808ex4-3_logicmark.htm" TargetMode="External"/><Relationship Id="rId52" Type="http://schemas.openxmlformats.org/officeDocument/2006/relationships/hyperlink" Target="https://www.sec.gov/Archives/edgar/data/1566826/000121390023088953/ea188808ex4-4_logicmark.htm" TargetMode="External"/><Relationship Id="rId53" Type="http://schemas.openxmlformats.org/officeDocument/2006/relationships/hyperlink" Target="https://www.sec.gov/Archives/edgar/data/1566826/000121390024065253/ea021062201ex4-1_logicmark.htm" TargetMode="External"/><Relationship Id="rId54" Type="http://schemas.openxmlformats.org/officeDocument/2006/relationships/hyperlink" Target="https://www.sec.gov/Archives/edgar/data/1566826/000121390024065253/ea021062201ex4-2_logicmark.htm" TargetMode="External"/><Relationship Id="rId55" Type="http://schemas.openxmlformats.org/officeDocument/2006/relationships/hyperlink" Target="https://www.sec.gov/Archives/edgar/data/1566826/000121390024054365/ea020794701ex4-25_logicmark.htm" TargetMode="External"/><Relationship Id="rId56" Type="http://schemas.openxmlformats.org/officeDocument/2006/relationships/hyperlink" Target="https://www.sec.gov/Archives/edgar/data/1566826/000121390024093557/ea021949001ex4-1_logicmark.htm" TargetMode="External"/><Relationship Id="rId57" Type="http://schemas.openxmlformats.org/officeDocument/2006/relationships/hyperlink" Target="https://www.sec.gov/Archives/edgar/data/1566826/000121390025014947/ea023142101ex4-1_logic.htm" TargetMode="External"/><Relationship Id="rId58" Type="http://schemas.openxmlformats.org/officeDocument/2006/relationships/hyperlink" Target="https://www.sec.gov/Archives/edgar/data/1566826/000121390025014947/ea023142101ex4-2_logic.htm" TargetMode="External"/><Relationship Id="rId59" Type="http://schemas.openxmlformats.org/officeDocument/2006/relationships/hyperlink" Target="https://www.sec.gov/Archives/edgar/data/1566826/000121390025014947/ea023142101ex4-3_logic.htm" TargetMode="External"/><Relationship Id="rId60" Type="http://schemas.openxmlformats.org/officeDocument/2006/relationships/hyperlink" Target="http://www.sec.gov/Archives/edgar/data/1566826/000121390025012287/ea023074001ex5-1_logic.htm" TargetMode="External"/><Relationship Id="rId61" Type="http://schemas.openxmlformats.org/officeDocument/2006/relationships/hyperlink" Target="https://www.sec.gov/Archives/edgar/data/1566826/000101968713000299/ex_1002.htm" TargetMode="External"/><Relationship Id="rId62" Type="http://schemas.openxmlformats.org/officeDocument/2006/relationships/hyperlink" Target="https://www.sec.gov/Archives/edgar/data/1566826/000101968713000299/ex_1003.htm" TargetMode="External"/><Relationship Id="rId63" Type="http://schemas.openxmlformats.org/officeDocument/2006/relationships/hyperlink" Target="https://www.sec.gov/Archives/edgar/data/1566826/000121390018009019/fs12018ex10-3_nxtidinc.htm" TargetMode="External"/><Relationship Id="rId64" Type="http://schemas.openxmlformats.org/officeDocument/2006/relationships/hyperlink" Target="https://www.sec.gov/Archives/edgar/data/1566826/000121390020017360/ea124087ex10-1_nxtidinc.htm" TargetMode="External"/><Relationship Id="rId65" Type="http://schemas.openxmlformats.org/officeDocument/2006/relationships/hyperlink" Target="https://www.sec.gov/Archives/edgar/data/1566826/000121390020043519/ea131906ex10-1_nxtidinc.htm" TargetMode="External"/><Relationship Id="rId66" Type="http://schemas.openxmlformats.org/officeDocument/2006/relationships/hyperlink" Target="https://www.sec.gov/Archives/edgar/data/1566826/000121390021001056/ea132968ex10-1_nxtidinc.htm" TargetMode="External"/><Relationship Id="rId67" Type="http://schemas.openxmlformats.org/officeDocument/2006/relationships/hyperlink" Target="https://www.sec.gov/Archives/edgar/data/1566826/000121390021005596/ea134304ex10-1_nxtidinc.htm" TargetMode="External"/><Relationship Id="rId68" Type="http://schemas.openxmlformats.org/officeDocument/2006/relationships/hyperlink" Target="https://www.sec.gov/Archives/edgar/data/1566826/000121390021043275/ea146008ex10-1_nxtidinc.htm" TargetMode="External"/><Relationship Id="rId69" Type="http://schemas.openxmlformats.org/officeDocument/2006/relationships/hyperlink" Target="https://www.sec.gov/Archives/edgar/data/1566826/000121390021047725/ea147126ex10-55_nxtidinc.htm" TargetMode="External"/><Relationship Id="rId70" Type="http://schemas.openxmlformats.org/officeDocument/2006/relationships/hyperlink" Target="https://www.sec.gov/Archives/edgar/data/1566826/000121390021021782/f10k2020ex10-50_nxtidinc.htm" TargetMode="External"/><Relationship Id="rId71" Type="http://schemas.openxmlformats.org/officeDocument/2006/relationships/hyperlink" Target="https://www.sec.gov/Archives/edgar/data/1566826/000121390021042513/ea145816ex10-1_nxtidinc.htm" TargetMode="External"/><Relationship Id="rId72" Type="http://schemas.openxmlformats.org/officeDocument/2006/relationships/hyperlink" Target="https://www.sec.gov/Archives/edgar/data/1566826/000121390021002282/ea133386ex10-1_nxtidinc.htm" TargetMode="External"/><Relationship Id="rId73" Type="http://schemas.openxmlformats.org/officeDocument/2006/relationships/hyperlink" Target="https://www.sec.gov/Archives/edgar/data/1566826/000121390021042937/f10q0621ex10-2_nxtidinc.htm" TargetMode="External"/><Relationship Id="rId74" Type="http://schemas.openxmlformats.org/officeDocument/2006/relationships/hyperlink" Target="https://www.sec.gov/Archives/edgar/data/1566826/000121390021032825/ea142851ex10-1_nxtid.htm" TargetMode="External"/><Relationship Id="rId75" Type="http://schemas.openxmlformats.org/officeDocument/2006/relationships/hyperlink" Target="https://www.sec.gov/Archives/edgar/data/1566826/000121390022069413/ea168075ex10-1_logicmark.htm" TargetMode="External"/><Relationship Id="rId76" Type="http://schemas.openxmlformats.org/officeDocument/2006/relationships/hyperlink" Target="https://www.sec.gov/Archives/edgar/data/1566826/000121390021042937/f10q0621ex10-1_nxtidinc.htm" TargetMode="External"/><Relationship Id="rId77" Type="http://schemas.openxmlformats.org/officeDocument/2006/relationships/hyperlink" Target="https://www.sec.gov/Archives/edgar/data/1566826/000121390022020174/f10k2021ex10-16_logicmark.htm" TargetMode="External"/><Relationship Id="rId78" Type="http://schemas.openxmlformats.org/officeDocument/2006/relationships/hyperlink" Target="https://www.sec.gov/Archives/edgar/data/1566826/000121390022083281/ea170805ex10-18_logic.htm" TargetMode="External"/><Relationship Id="rId79" Type="http://schemas.openxmlformats.org/officeDocument/2006/relationships/hyperlink" Target="https://www.sec.gov/Archives/edgar/data/1566826/000121390023002553/ea171527ex10-19_logicmark.htm" TargetMode="External"/><Relationship Id="rId80" Type="http://schemas.openxmlformats.org/officeDocument/2006/relationships/hyperlink" Target="https://www.sec.gov/Archives/edgar/data/1566826/000121390023045830/ea179516ex10-1_logic.htm" TargetMode="External"/><Relationship Id="rId81" Type="http://schemas.openxmlformats.org/officeDocument/2006/relationships/hyperlink" Target="https://www.sec.gov/Archives/edgar/data/1566826/000121390023066203/f10q0623ex10-1_logicmark.htm" TargetMode="External"/><Relationship Id="rId82" Type="http://schemas.openxmlformats.org/officeDocument/2006/relationships/hyperlink" Target="https://www.sec.gov/Archives/edgar/data/1566826/000121390023066203/f10q0623ex10-2_logicmark.htm" TargetMode="External"/><Relationship Id="rId83" Type="http://schemas.openxmlformats.org/officeDocument/2006/relationships/hyperlink" Target="https://www.sec.gov/Archives/edgar/data/1566826/000121390023066203/f10q0623ex10-3_logicmark.htm" TargetMode="External"/><Relationship Id="rId84" Type="http://schemas.openxmlformats.org/officeDocument/2006/relationships/hyperlink" Target="https://www.sec.gov/Archives/edgar/data/1566826/000121390023089246/ea188854ex10-1_logicmark.htm" TargetMode="External"/><Relationship Id="rId85" Type="http://schemas.openxmlformats.org/officeDocument/2006/relationships/hyperlink" Target="https://www.sec.gov/Archives/edgar/data/1566826/000121390023089246/ea188854ex10-2_logicmark.htm" TargetMode="External"/><Relationship Id="rId86" Type="http://schemas.openxmlformats.org/officeDocument/2006/relationships/hyperlink" Target="https://www.sec.gov/Archives/edgar/data/1566826/000121390024065253/ea021062201ex10-1_logicmark.htm" TargetMode="External"/><Relationship Id="rId87" Type="http://schemas.openxmlformats.org/officeDocument/2006/relationships/hyperlink" Target="https://www.sec.gov/Archives/edgar/data/1566826/000121390024065253/ea021062201ex10-2_logicmark.htm" TargetMode="External"/><Relationship Id="rId88" Type="http://schemas.openxmlformats.org/officeDocument/2006/relationships/hyperlink" Target="https://www.sec.gov/Archives/edgar/data/1566826/000121390024054365/ea020794701ex1-1_logicmark.htm" TargetMode="External"/><Relationship Id="rId89" Type="http://schemas.openxmlformats.org/officeDocument/2006/relationships/hyperlink" Target="https://www.sec.gov/Archives/edgar/data/1566826/000121390024098481/ea021817301ex10-1_logic.htm" TargetMode="External"/><Relationship Id="rId90" Type="http://schemas.openxmlformats.org/officeDocument/2006/relationships/hyperlink" Target="https://www.sec.gov/Archives/edgar/data/1566826/000121390024098481/ea021817301ex10-2_logic.htm" TargetMode="External"/><Relationship Id="rId91" Type="http://schemas.openxmlformats.org/officeDocument/2006/relationships/hyperlink" Target="https://www.sec.gov/Archives/edgar/data/1566826/000121390025014947/ea023142101ex10-1_logic.htm" TargetMode="External"/><Relationship Id="rId92" Type="http://schemas.openxmlformats.org/officeDocument/2006/relationships/hyperlink" Target="https://www.sec.gov/Archives/edgar/data/1566826/000121390025014947/ea023142101ex10-2_logic.htm" TargetMode="External"/><Relationship Id="rId93" Type="http://schemas.openxmlformats.org/officeDocument/2006/relationships/hyperlink" Target="https://www.sec.gov/Archives/edgar/data/1566826/000121390025014947/ea023142101ex1-1_logic.htm" TargetMode="External"/><Relationship Id="rId94" Type="http://schemas.openxmlformats.org/officeDocument/2006/relationships/hyperlink" Target="http://www.sec.gov/Archives/edgar/data/1566826/000121390025012287/ea023074001ex23-1_logic.htm" TargetMode="External"/><Relationship Id="rId95" Type="http://schemas.openxmlformats.org/officeDocument/2006/relationships/hyperlink" Target="http://www.sec.gov/Archives/edgar/data/1566826/000101376225004398/ea023579703ex23-3_logicma.htm" TargetMode="External"/><Relationship Id="rId96" Type="http://schemas.openxmlformats.org/officeDocument/2006/relationships/hyperlink" Target="http://www.sec.gov/Archives/edgar/data/1566826/000121390025000848/ea0226715-s1_logicmark.htm#log_019" TargetMode="External"/><Relationship Id="rId97" Type="http://schemas.openxmlformats.org/officeDocument/2006/relationships/hyperlink" Target="http://www.sec.gov/Archives/edgar/data/1566826/000121390025012287/ea023074001ex-fee_log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2026-03-27T14:23:59Z</dcterms:created>
  <dcterms:modified xsi:type="dcterms:W3CDTF">2026-03-27T14:23:59Z</dcterms:modified>
</cp:coreProperties>
</file>